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CONTENT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NORMATIVE REFERENCES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DESIGNATIONS AND ABBREVIATIONS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DEFINITIONS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INTRODUCTION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AUTOMATED DIABETIC RETINOPATHY SCREENING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Diabetic retinopathy and screening demand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Fundus image quality and variability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Convolutional networks for retinal images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Existing automated screening systems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Problem statement and research direction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1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METHODOLOGY OF THE INTEGRATED PIPELINE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Preprocessing pipeline formalisation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Formalisation of the clip limit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Classification architectures and adaptation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Pretraining and fine-tuning strategy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Explainability and quality metrics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Evaluation and statistical protocol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2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EXPERIMENTAL RESULTS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Datasets and experimental configuration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Effect of the pipeline on accuracy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Stage ablation and parameter sensitivity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Domain distance in feature space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3.5 Cross-dataset and external transfer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3.6 Attention maps and lesion agreement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3.7 Training on small clinical samples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3.8 Statistical validation and comparative analysis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3.9 Limitations and boundary conditions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3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THE SCREENING SYSTEM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System architecture and modules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Preprocessing and inference services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Clinical workflow and operator interface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Deployment and data protection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4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CONCLUSION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LIST OF REFERENCES USED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A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B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C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D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135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