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ПІКІР</w:t>
      </w:r>
    </w:p>
    <w:p>
      <w:pPr>
        <w:ind w:firstLine="709"/>
        <w:jc w:val="both"/>
      </w:pP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8D06102 — «Компьютерлік және программалық инженерия» білім беру бағдарламасы бойынша философия докторы (PhD) дәрежесін алуға ұсынылған диссертациялық жұмысына</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u w:val="none"/>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u w:val="none"/>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алты тараудан тұратын жүйелі зерттеу жүргізген: проблемалық саланы талдау, кескінді жақсарту мен терең оқытудың теориялық негіздері, біріктірілген әдістеменің формализациясы, эксперименттік зерттеу, нәтижелердің сенімділігін валидациялау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u w:val="none"/>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u w:val="none"/>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u w:val="none"/>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u w:val="none"/>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u w:val="none"/>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u w:val="none"/>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8D06102 — «Компьютерлік және программалық инженерия» білім беру бағдарламасы бойынша философия докторы (PhD) дәрежесін беруге лайық.</w:t>
      </w:r>
    </w:p>
    <w:p>
      <w:pPr>
        <w:spacing w:after="0"/>
        <w:ind w:firstLine="0"/>
        <w:jc w:val="left"/>
      </w:pPr>
      <w:r>
        <w:rPr>
          <w:rFonts w:ascii="Times New Roman" w:hAnsi="Times New Roman" w:cs="Times New Roman" w:eastAsia="Times New Roman"/>
          <w:b/>
          <w:i w:val="0"/>
          <w:sz w:val="28"/>
          <w:u w:val="none"/>
        </w:rPr>
        <w:t>Ғылыми кеңесші:</w:t>
      </w:r>
    </w:p>
    <w:p>
      <w:pPr>
        <w:spacing w:after="0"/>
        <w:ind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after="0"/>
        <w:ind w:firstLine="0"/>
        <w:jc w:val="left"/>
      </w:pPr>
      <w:r>
        <w:rPr>
          <w:rFonts w:ascii="Times New Roman" w:hAnsi="Times New Roman" w:cs="Times New Roman" w:eastAsia="Times New Roman"/>
          <w:b w:val="0"/>
          <w:i w:val="0"/>
          <w:sz w:val="28"/>
          <w:u w:val="none"/>
        </w:rPr>
        <w:t>қауымдастырылған профессор,</w:t>
      </w:r>
    </w:p>
    <w:p>
      <w:pPr>
        <w:tabs>
          <w:tab w:pos="9638" w:val="right"/>
        </w:tabs>
        <w:spacing w:after="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