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ind w:firstLine="709"/>
        <w:jc w:val="both"/>
      </w:pPr>
      <w:r>
        <w:rPr>
          <w:rFonts w:ascii="Times New Roman" w:hAnsi="Times New Roman" w:cs="Times New Roman" w:eastAsia="Times New Roman"/>
          <w:b/>
          <w:i w:val="0"/>
          <w:sz w:val="28"/>
          <w:u w:val="none"/>
        </w:rPr>
        <w:t>of the PhD thesis by Yesmukhamedov Nurmaganbet Seitkaliuly on «Computer System for Processing and Analysis of Eye Data to Support Laser Coagulation in the Treatment of Diabetic Retinopathy», submitted for the degree of Doctor of Philosophy (PhD) in the educational programme (EP) 8D06102 — Computer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General characteristics of the research</w:t>
      </w:r>
    </w:p>
    <w:p>
      <w:pPr>
        <w:ind w:firstLine="709"/>
        <w:jc w:val="both"/>
      </w:pPr>
      <w:r>
        <w:rPr>
          <w:rFonts w:ascii="Times New Roman" w:hAnsi="Times New Roman" w:cs="Times New Roman" w:eastAsia="Times New Roman"/>
          <w:b w:val="0"/>
          <w:i w:val="0"/>
          <w:sz w:val="28"/>
          <w:u w:val="none"/>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u w:val="none"/>
        </w:rPr>
        <w:t xml:space="preserve">The dominant tradition in automated DR diagnosis — here designated paradigm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u w:val="none"/>
        </w:rPr>
        <w:t xml:space="preserve">This work advances an alternative paradigm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u w:val="none"/>
        </w:rPr>
        <w:t>Aim of the research</w:t>
      </w:r>
    </w:p>
    <w:p>
      <w:pPr>
        <w:ind w:firstLine="709"/>
        <w:jc w:val="both"/>
      </w:pPr>
      <w:r>
        <w:rPr>
          <w:rFonts w:ascii="Times New Roman" w:hAnsi="Times New Roman" w:cs="Times New Roman" w:eastAsia="Times New Roman"/>
          <w:b w:val="0"/>
          <w:i w:val="0"/>
          <w:sz w:val="28"/>
          <w:u w:val="none"/>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u w:val="none"/>
        </w:rPr>
        <w:t>Objectives of the research</w:t>
      </w:r>
    </w:p>
    <w:p>
      <w:pPr>
        <w:ind w:left="709" w:hanging="397"/>
        <w:jc w:val="both"/>
      </w:pPr>
      <w:r>
        <w:rPr>
          <w:rFonts w:ascii="Times New Roman" w:hAnsi="Times New Roman" w:cs="Times New Roman" w:eastAsia="Times New Roman"/>
          <w:b w:val="0"/>
          <w:i w:val="0"/>
          <w:sz w:val="28"/>
          <w:u w:val="none"/>
        </w:rPr>
        <w:t>1.</w:t>
        <w:tab/>
        <w:t>To analyse the problem domain and formulate the research problem: the clinical grading of the disease, the screening requirements of resource-limited settings, the sources and measured impact of fundus image quality loss and its device-specific component, and the methodological practice of existing automated screening systems (Chapter 1).</w:t>
      </w:r>
    </w:p>
    <w:p>
      <w:pPr>
        <w:ind w:left="709" w:hanging="397"/>
        <w:jc w:val="both"/>
      </w:pPr>
      <w:r>
        <w:rPr>
          <w:rFonts w:ascii="Times New Roman" w:hAnsi="Times New Roman" w:cs="Times New Roman" w:eastAsia="Times New Roman"/>
          <w:b w:val="0"/>
          <w:i w:val="0"/>
          <w:sz w:val="28"/>
          <w:u w:val="none"/>
        </w:rPr>
        <w:t>2.</w:t>
        <w:tab/>
        <w:t>To specify the integrated preprocessing-CNN methodology: the 8-stage pipeline stage by stage with the theoretical foundations of each (histogram equalisation and the dual-constraint CLAHE clip limit, spatial filtering, illumination correction), the classification architectures (ResNet-50, EfficientNet-B3) and their adaptation to five-class grading, the pretraining and fine-tuning strategy, the explainability formalism (Grad-CAM, ALO, IoU), and the evaluation and statistical protocol (Chapter 2).</w:t>
      </w:r>
    </w:p>
    <w:p>
      <w:pPr>
        <w:ind w:left="709" w:hanging="397"/>
        <w:jc w:val="both"/>
      </w:pPr>
      <w:r>
        <w:rPr>
          <w:rFonts w:ascii="Times New Roman" w:hAnsi="Times New Roman" w:cs="Times New Roman" w:eastAsia="Times New Roman"/>
          <w:b w:val="0"/>
          <w:i w:val="0"/>
          <w:sz w:val="28"/>
          <w:u w:val="none"/>
        </w:rPr>
        <w:t>3.</w:t>
        <w:tab/>
        <w:t>To evaluate the framework experimentally through eight investigations conducted on a common substrate — integrated-pipeline dominance under a 2×2 factorial design (Experiment 1); cumulative component ablation with the CLAHE and flat-field parameter sweeps (Experiment 2); direct measurement of source-to-target distance in feature space across six external corpora; cross-dataset transferability (Experiment 3); Grad-CAM explainability against expert lesion annotation (Experiment 4); external clinical performance (Experiment 5); device domain shift (Experiment 6); and training in a data-scarce regime (Experiment 7) — together with the statistical validation, the comparative placement of the results, and the limitations and boundary conditions of the approach (Chapter 3).</w:t>
      </w:r>
    </w:p>
    <w:p>
      <w:pPr>
        <w:ind w:left="709" w:hanging="397"/>
        <w:jc w:val="both"/>
      </w:pPr>
      <w:r>
        <w:rPr>
          <w:rFonts w:ascii="Times New Roman" w:hAnsi="Times New Roman" w:cs="Times New Roman" w:eastAsia="Times New Roman"/>
          <w:b w:val="0"/>
          <w:i w:val="0"/>
          <w:sz w:val="28"/>
          <w:u w:val="none"/>
        </w:rPr>
        <w:t>4.</w:t>
        <w:tab/>
        <w:t>To build and describe a screening system around the model, suited to settings without inference acceleration and with intermittent connectivity, with telemedicine and eHealth integration applicable to Kazakhstan healthcare infrastructure, and to state what of it exists and what remains specification (Chapter 4).</w:t>
      </w:r>
    </w:p>
    <w:p>
      <w:pPr>
        <w:keepNext/>
        <w:spacing w:before="240" w:after="120"/>
        <w:jc w:val="left"/>
      </w:pPr>
      <w:r>
        <w:rPr>
          <w:rFonts w:ascii="Times New Roman" w:hAnsi="Times New Roman" w:cs="Times New Roman" w:eastAsia="Times New Roman"/>
          <w:b/>
          <w:i w:val="0"/>
          <w:sz w:val="28"/>
          <w:u w:val="none"/>
        </w:rPr>
        <w:t>Object of the research</w:t>
      </w:r>
    </w:p>
    <w:p>
      <w:pPr>
        <w:ind w:firstLine="709"/>
        <w:jc w:val="both"/>
      </w:pPr>
      <w:r>
        <w:rPr>
          <w:rFonts w:ascii="Times New Roman" w:hAnsi="Times New Roman" w:cs="Times New Roman" w:eastAsia="Times New Roman"/>
          <w:b w:val="0"/>
          <w:i w:val="0"/>
          <w:sz w:val="28"/>
          <w:u w:val="none"/>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u w:val="none"/>
        </w:rPr>
        <w:t>Subject of the research</w:t>
      </w:r>
    </w:p>
    <w:p>
      <w:pPr>
        <w:ind w:firstLine="709"/>
        <w:jc w:val="both"/>
      </w:pPr>
      <w:r>
        <w:rPr>
          <w:rFonts w:ascii="Times New Roman" w:hAnsi="Times New Roman" w:cs="Times New Roman" w:eastAsia="Times New Roman"/>
          <w:b w:val="0"/>
          <w:i w:val="0"/>
          <w:sz w:val="28"/>
          <w:u w:val="none"/>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u w:val="none"/>
        </w:rPr>
        <w:t>Methodology and methods of the research</w:t>
      </w:r>
    </w:p>
    <w:p>
      <w:pPr>
        <w:ind w:firstLine="709"/>
        <w:jc w:val="both"/>
      </w:pPr>
      <w:r>
        <w:rPr>
          <w:rFonts w:ascii="Times New Roman" w:hAnsi="Times New Roman" w:cs="Times New Roman" w:eastAsia="Times New Roman"/>
          <w:b w:val="0"/>
          <w:i w:val="0"/>
          <w:sz w:val="28"/>
          <w:u w:val="none"/>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u w:val="none"/>
        </w:rPr>
        <w:t>Empirical (experimental) basis</w:t>
      </w:r>
    </w:p>
    <w:p>
      <w:pPr>
        <w:ind w:firstLine="709"/>
        <w:jc w:val="both"/>
      </w:pPr>
      <w:r>
        <w:rPr>
          <w:rFonts w:ascii="Times New Roman" w:hAnsi="Times New Roman" w:cs="Times New Roman" w:eastAsia="Times New Roman"/>
          <w:b w:val="0"/>
          <w:i w:val="0"/>
          <w:sz w:val="28"/>
          <w:u w:val="none"/>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u w:val="none"/>
        </w:rPr>
        <w:t>Scientific novelty</w:t>
      </w:r>
    </w:p>
    <w:p>
      <w:pPr>
        <w:ind w:left="709" w:hanging="397"/>
        <w:jc w:val="both"/>
      </w:pPr>
      <w:r>
        <w:rPr>
          <w:rFonts w:ascii="Times New Roman" w:hAnsi="Times New Roman" w:cs="Times New Roman" w:eastAsia="Times New Roman"/>
          <w:b w:val="0"/>
          <w:i w:val="0"/>
          <w:sz w:val="28"/>
          <w:u w:val="none"/>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u w:val="none"/>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u w:val="none"/>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u w:val="none"/>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u w:val="none"/>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u w:val="none"/>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u w:val="none"/>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u w:val="none"/>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u w:val="none"/>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u w:val="none"/>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u w:val="none"/>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u w:val="none"/>
        </w:rPr>
        <w:t>12.</w:t>
        <w:tab/>
        <w:t>Two contributions are non-empirical by design: the coupled thermal-optical model of fundus tissue response under laser exposure, a theoretical and computational contribution only; and the modular screening-system architecture, a design contribution realised in part as a working demonstrator, which establishes realisability and operating behaviour and is evidence for no diagnostic claim — no clinical deployment testing conducted.</w:t>
      </w:r>
    </w:p>
    <w:p>
      <w:pPr>
        <w:keepNext/>
        <w:spacing w:before="240" w:after="120"/>
        <w:jc w:val="left"/>
      </w:pPr>
      <w:r>
        <w:rPr>
          <w:rFonts w:ascii="Times New Roman" w:hAnsi="Times New Roman" w:cs="Times New Roman" w:eastAsia="Times New Roman"/>
          <w:b/>
          <w:i w:val="0"/>
          <w:sz w:val="28"/>
          <w:u w:val="none"/>
        </w:rPr>
        <w:t>Main results of the research</w:t>
      </w:r>
    </w:p>
    <w:p>
      <w:pPr>
        <w:ind w:left="709" w:hanging="397"/>
        <w:jc w:val="both"/>
      </w:pPr>
      <w:r>
        <w:rPr>
          <w:rFonts w:ascii="Times New Roman" w:hAnsi="Times New Roman" w:cs="Times New Roman" w:eastAsia="Times New Roman"/>
          <w:b w:val="0"/>
          <w:i w:val="0"/>
          <w:sz w:val="28"/>
          <w:u w:val="none"/>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u w:val="none"/>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u w:val="none"/>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u w:val="none"/>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w:t>
      </w:r>
    </w:p>
    <w:p>
      <w:pPr>
        <w:ind w:left="709" w:hanging="397"/>
        <w:jc w:val="both"/>
      </w:pPr>
      <w:r>
        <w:rPr>
          <w:rFonts w:ascii="Times New Roman" w:hAnsi="Times New Roman" w:cs="Times New Roman" w:eastAsia="Times New Roman"/>
          <w:b w:val="0"/>
          <w:i w:val="0"/>
          <w:sz w:val="28"/>
          <w:u w:val="none"/>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investigations approach only through its consequence — in direction only, since the magnitude of a distance reduction does not track the magnitude of any performance gain.</w:t>
      </w:r>
    </w:p>
    <w:p>
      <w:pPr>
        <w:ind w:left="709" w:hanging="397"/>
        <w:jc w:val="both"/>
      </w:pPr>
      <w:r>
        <w:rPr>
          <w:rFonts w:ascii="Times New Roman" w:hAnsi="Times New Roman" w:cs="Times New Roman" w:eastAsia="Times New Roman"/>
          <w:b w:val="0"/>
          <w:i w:val="0"/>
          <w:sz w:val="28"/>
          <w:u w:val="none"/>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w:t>
      </w:r>
    </w:p>
    <w:p>
      <w:pPr>
        <w:ind w:left="709" w:hanging="397"/>
        <w:jc w:val="both"/>
      </w:pPr>
      <w:r>
        <w:rPr>
          <w:rFonts w:ascii="Times New Roman" w:hAnsi="Times New Roman" w:cs="Times New Roman" w:eastAsia="Times New Roman"/>
          <w:b w:val="0"/>
          <w:i w:val="0"/>
          <w:sz w:val="28"/>
          <w:u w:val="none"/>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On both external clinical corpora the integrated configuration attained higher absolute weighted F1, each difference reaching the minimal clinically important difference with its interval excluding zero (Experiment 5 — higher absolute external performance, not resistance to degradation); performance was maintained across all five camera groupings with their dispersion reduced (Experiment 6);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u w:val="none"/>
        </w:rPr>
        <w:t>9.</w:t>
        <w:tab/>
        <w:t>A modular architecture for an automated DR screening system suitable for resource-limited environments, with telemedicine and eHealth integration applicable to Kazakhstan healthcare infrastructure, was designed, and a working demonstrator of it was built and deployed: it runs the preprocessing pipeline and the trained classifier end to end, produces attention maps, and keeps a per-case record including the reviewing ophthalmologist's verdict. The demonstrator establishes that the design is realisable and what it does in operation; the deployment-oriented parts it does not realise remain specification, and no clinical deployment testing was conducted.</w:t>
      </w:r>
    </w:p>
    <w:p>
      <w:pPr>
        <w:keepNext/>
        <w:spacing w:before="240" w:after="120"/>
        <w:jc w:val="left"/>
      </w:pPr>
      <w:r>
        <w:rPr>
          <w:rFonts w:ascii="Times New Roman" w:hAnsi="Times New Roman" w:cs="Times New Roman" w:eastAsia="Times New Roman"/>
          <w:b/>
          <w:i w:val="0"/>
          <w:sz w:val="28"/>
          <w:u w:val="none"/>
        </w:rPr>
        <w:t>Statements submitted for defense</w:t>
      </w:r>
    </w:p>
    <w:p>
      <w:pPr>
        <w:ind w:firstLine="709"/>
        <w:jc w:val="both"/>
      </w:pPr>
      <w:r>
        <w:rPr>
          <w:rFonts w:ascii="Times New Roman" w:hAnsi="Times New Roman" w:cs="Times New Roman" w:eastAsia="Times New Roman"/>
          <w:b w:val="0"/>
          <w:i w:val="0"/>
          <w:sz w:val="28"/>
          <w:u w:val="none"/>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u w:val="none"/>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u w:val="none"/>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u w:val="none"/>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w:t>
      </w:r>
      <w:r>
        <w:rPr>
          <w:rFonts w:ascii="Times New Roman" w:hAnsi="Times New Roman" w:cs="Times New Roman" w:eastAsia="Times New Roman"/>
          <w:b w:val="0"/>
          <w:i/>
          <w:sz w:val="28"/>
          <w:u w:val="none"/>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u w:val="none"/>
        </w:rPr>
        <w:t>3.</w:t>
        <w:tab/>
        <w:t xml:space="preserve">The dual-constraint CLAHE parameters and the flat-field σ each exhibit an interior optimum within the ranges examined, confirmed on held-out data. </w:t>
      </w:r>
      <w:r>
        <w:rPr>
          <w:rFonts w:ascii="Times New Roman" w:hAnsi="Times New Roman" w:cs="Times New Roman" w:eastAsia="Times New Roman"/>
          <w:b w:val="0"/>
          <w:i/>
          <w:sz w:val="28"/>
          <w:u w:val="none"/>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u w:val="none"/>
        </w:rPr>
        <w:t>4.</w:t>
        <w:tab/>
        <w:t xml:space="preserve">The contributions of the individual pipeline stages are separable, monotone across folds, and orderable with the two photometric stages leading. </w:t>
      </w:r>
      <w:r>
        <w:rPr>
          <w:rFonts w:ascii="Times New Roman" w:hAnsi="Times New Roman" w:cs="Times New Roman" w:eastAsia="Times New Roman"/>
          <w:b w:val="0"/>
          <w:i/>
          <w:sz w:val="28"/>
          <w:u w:val="none"/>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u w:val="none"/>
        </w:rPr>
        <w:t>5.</w:t>
        <w:tab/>
        <w:t xml:space="preserve">The integrated configuration reduces the distance between the training distribution and each external distribution in penultimate-layer feature space, on every external corpus examined, without any target-corpus statistic entering the transform. </w:t>
      </w:r>
      <w:r>
        <w:rPr>
          <w:rFonts w:ascii="Times New Roman" w:hAnsi="Times New Roman" w:cs="Times New Roman" w:eastAsia="Times New Roman"/>
          <w:b w:val="0"/>
          <w:i/>
          <w:sz w:val="28"/>
          <w:u w:val="none"/>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u w:val="none"/>
        </w:rPr>
        <w:t>6.</w:t>
        <w:tab/>
        <w:t xml:space="preserve">A model trained on EyePACS with the pipeline transfers to APTOS 2019 without retraining, clearing the pre-registered generalisation ratio G ≥ 0.85 and exceeding the baseline on every grade. </w:t>
      </w:r>
      <w:r>
        <w:rPr>
          <w:rFonts w:ascii="Times New Roman" w:hAnsi="Times New Roman" w:cs="Times New Roman" w:eastAsia="Times New Roman"/>
          <w:b w:val="0"/>
          <w:i/>
          <w:sz w:val="28"/>
          <w:u w:val="none"/>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u w:val="none"/>
        </w:rPr>
        <w:t>7.</w:t>
        <w:tab/>
        <w:t xml:space="preserve">Model attention aligns more closely with expert pixel-level lesion annotation under the integrated configuration, on all four annotated lesion types, on both the primary and the secondary measure, and robustly across the attention threshold. </w:t>
      </w:r>
      <w:r>
        <w:rPr>
          <w:rFonts w:ascii="Times New Roman" w:hAnsi="Times New Roman" w:cs="Times New Roman" w:eastAsia="Times New Roman"/>
          <w:b w:val="0"/>
          <w:i/>
          <w:sz w:val="28"/>
          <w:u w:val="none"/>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 xml:space="preserve">Classification performance is maintained across every camera grouping examined and, substantively, the dispersion of performance across those groupings is reduced. </w:t>
      </w:r>
      <w:r>
        <w:rPr>
          <w:rFonts w:ascii="Times New Roman" w:hAnsi="Times New Roman" w:cs="Times New Roman" w:eastAsia="Times New Roman"/>
          <w:b w:val="0"/>
          <w:i/>
          <w:sz w:val="28"/>
          <w:u w:val="none"/>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u w:val="none"/>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w:t>
      </w:r>
      <w:r>
        <w:rPr>
          <w:rFonts w:ascii="Times New Roman" w:hAnsi="Times New Roman" w:cs="Times New Roman" w:eastAsia="Times New Roman"/>
          <w:b w:val="0"/>
          <w:i/>
          <w:sz w:val="28"/>
          <w:u w:val="none"/>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u w:val="none"/>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u w:val="none"/>
        </w:rPr>
        <w:t>Analytic and strictly descriptive: it rehabilitates no result of this work.</w:t>
      </w:r>
    </w:p>
    <w:p>
      <w:pPr>
        <w:ind w:left="709" w:hanging="397"/>
        <w:jc w:val="both"/>
      </w:pPr>
      <w:r>
        <w:rPr>
          <w:rFonts w:ascii="Times New Roman" w:hAnsi="Times New Roman" w:cs="Times New Roman" w:eastAsia="Times New Roman"/>
          <w:b w:val="0"/>
          <w:i w:val="0"/>
          <w:sz w:val="28"/>
          <w:u w:val="none"/>
        </w:rPr>
        <w:t>11.</w:t>
        <w:tab/>
        <w:t xml:space="preserve">A coupled thermal-optical model of fundus tissue response under laser exposure, and a modular architecture for an automated DR screening system in resource-limited environments, realised in part as a working demonstrator. </w:t>
      </w:r>
      <w:r>
        <w:rPr>
          <w:rFonts w:ascii="Times New Roman" w:hAnsi="Times New Roman" w:cs="Times New Roman" w:eastAsia="Times New Roman"/>
          <w:b w:val="0"/>
          <w:i/>
          <w:sz w:val="28"/>
          <w:u w:val="none"/>
        </w:rPr>
        <w:t>Submitted as theoretical and design contributions respectively — the model is not clinically validated; the demonstrator establishes realisability and operating behaviour and is evidence for no diagnostic claim; the deployment-oriented parts of the architecture remain specification, and no field testing was conducted.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u w:val="none"/>
        </w:rPr>
        <w:t xml:space="preserve">The following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u w:val="none"/>
        </w:rPr>
        <w:t>Theoretical significance</w:t>
      </w:r>
    </w:p>
    <w:p>
      <w:pPr>
        <w:ind w:firstLine="709"/>
        <w:jc w:val="both"/>
      </w:pPr>
      <w:r>
        <w:rPr>
          <w:rFonts w:ascii="Times New Roman" w:hAnsi="Times New Roman" w:cs="Times New Roman" w:eastAsia="Times New Roman"/>
          <w:b w:val="0"/>
          <w:i w:val="0"/>
          <w:sz w:val="28"/>
          <w:u w:val="none"/>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u w:val="none"/>
        </w:rPr>
        <w:t>Practical significance</w:t>
      </w:r>
    </w:p>
    <w:p>
      <w:pPr>
        <w:ind w:firstLine="709"/>
        <w:jc w:val="both"/>
      </w:pPr>
      <w:r>
        <w:rPr>
          <w:rFonts w:ascii="Times New Roman" w:hAnsi="Times New Roman" w:cs="Times New Roman" w:eastAsia="Times New Roman"/>
          <w:b w:val="0"/>
          <w:i w:val="0"/>
          <w:sz w:val="28"/>
          <w:u w:val="none"/>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u w:val="none"/>
        </w:rPr>
        <w:t>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A working demonstrator of the architecture is deployed and performs inference on submitted images, which establishes that the design is realisable and what it does in operation; the deployment-oriented parts it does not realise — PACS integration, EHR interoperability, telemedicine operation — remain design specifications, no deployment was tested clinically, and the data-protection provisions are alignment by design rather than certified compliance. The system is conceived as decision support in which the clinician retains the diagnosis and the responsibility for it; nothing here is offered as a standalone diagnostic instrument.</w:t>
      </w:r>
    </w:p>
    <w:p>
      <w:pPr>
        <w:keepNext/>
        <w:spacing w:before="240" w:after="120"/>
        <w:jc w:val="left"/>
      </w:pPr>
      <w:r>
        <w:rPr>
          <w:rFonts w:ascii="Times New Roman" w:hAnsi="Times New Roman" w:cs="Times New Roman" w:eastAsia="Times New Roman"/>
          <w:b/>
          <w:i w:val="0"/>
          <w:sz w:val="28"/>
          <w:u w:val="none"/>
        </w:rPr>
        <w:t>Reliability of the results</w:t>
      </w:r>
    </w:p>
    <w:p>
      <w:pPr>
        <w:ind w:firstLine="709"/>
        <w:jc w:val="both"/>
      </w:pPr>
      <w:r>
        <w:rPr>
          <w:rFonts w:ascii="Times New Roman" w:hAnsi="Times New Roman" w:cs="Times New Roman" w:eastAsia="Times New Roman"/>
          <w:b w:val="0"/>
          <w:i w:val="0"/>
          <w:sz w:val="28"/>
          <w:u w:val="none"/>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u w:val="none"/>
        </w:rPr>
        <w:t>Approbation of the results and connection with scientific programmes</w:t>
      </w:r>
    </w:p>
    <w:p>
      <w:pPr>
        <w:ind w:firstLine="709"/>
        <w:jc w:val="both"/>
      </w:pPr>
      <w:r>
        <w:rPr>
          <w:rFonts w:ascii="Times New Roman" w:hAnsi="Times New Roman" w:cs="Times New Roman" w:eastAsia="Times New Roman"/>
          <w:b w:val="0"/>
          <w:i w:val="0"/>
          <w:sz w:val="28"/>
          <w:u w:val="none"/>
        </w:rPr>
        <w:t>The results of the research were reported and discussed at international scientific forums, including the 3rd International Workshop on Digital Society (DS 2025, Istanbul, Türkiye, 28–30 October 2025), and published in international peer-reviewed journals; the five works are listed below.</w:t>
      </w:r>
    </w:p>
    <w:p>
      <w:pPr>
        <w:ind w:firstLine="709"/>
        <w:jc w:val="both"/>
      </w:pPr>
      <w:r>
        <w:rPr>
          <w:rFonts w:ascii="Times New Roman" w:hAnsi="Times New Roman" w:cs="Times New Roman" w:eastAsia="Times New Roman"/>
          <w:b w:val="0"/>
          <w:i w:val="0"/>
          <w:sz w:val="28"/>
          <w:u w:val="none"/>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u w:val="none"/>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u w:val="none"/>
        </w:rPr>
        <w:t>Publications</w:t>
      </w:r>
    </w:p>
    <w:p>
      <w:pPr>
        <w:ind w:firstLine="709"/>
        <w:jc w:val="both"/>
      </w:pPr>
      <w:r>
        <w:rPr>
          <w:rFonts w:ascii="Times New Roman" w:hAnsi="Times New Roman" w:cs="Times New Roman" w:eastAsia="Times New Roman"/>
          <w:b w:val="0"/>
          <w:i w:val="0"/>
          <w:sz w:val="28"/>
          <w:u w:val="none"/>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a paper in international conference proceedings indexed by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u w:val="none"/>
        </w:rPr>
        <w:t>News of the NAS RK, Physico-Mathematical Series</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Articles in journals indexed by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Papers in international conference proceedings indexed by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u w:val="none"/>
        </w:rPr>
        <w:t>Articles in journals recommended by the KKSON of the Republic of Kazakhstan:</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Herald of KazUTB. — 2025. — Vol. 2, No. 27-740. https://doi.org/10.58805/kazutb.v.2.27-740</w:t>
      </w:r>
    </w:p>
    <w:p>
      <w:pPr>
        <w:keepNext/>
        <w:spacing w:before="240" w:after="120"/>
        <w:jc w:val="left"/>
      </w:pPr>
      <w:r>
        <w:rPr>
          <w:rFonts w:ascii="Times New Roman" w:hAnsi="Times New Roman" w:cs="Times New Roman" w:eastAsia="Times New Roman"/>
          <w:b/>
          <w:i w:val="0"/>
          <w:sz w:val="28"/>
          <w:u w:val="none"/>
        </w:rPr>
        <w:t>Main content of the work</w:t>
      </w:r>
    </w:p>
    <w:p>
      <w:pPr>
        <w:ind w:firstLine="709"/>
        <w:jc w:val="both"/>
      </w:pPr>
      <w:r>
        <w:rPr>
          <w:rFonts w:ascii="Times New Roman" w:hAnsi="Times New Roman" w:cs="Times New Roman" w:eastAsia="Times New Roman"/>
          <w:b/>
          <w:i w:val="0"/>
          <w:sz w:val="28"/>
          <w:u w:val="none"/>
        </w:rPr>
        <w:t>The introduction</w:t>
      </w:r>
      <w:r>
        <w:rPr>
          <w:rFonts w:ascii="Times New Roman" w:hAnsi="Times New Roman" w:cs="Times New Roman" w:eastAsia="Times New Roman"/>
          <w:b w:val="0"/>
          <w:i w:val="0"/>
          <w:sz w:val="28"/>
          <w:u w:val="none"/>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u w:val="none"/>
        </w:rPr>
        <w:t>Chapter 1 — "Automated diabetic retinopathy screening"</w:t>
      </w:r>
      <w:r>
        <w:rPr>
          <w:rFonts w:ascii="Times New Roman" w:hAnsi="Times New Roman" w:cs="Times New Roman" w:eastAsia="Times New Roman"/>
          <w:b w:val="0"/>
          <w:i w:val="0"/>
          <w:sz w:val="28"/>
          <w:u w:val="none"/>
        </w:rPr>
        <w:t xml:space="preserve"> establishes the clinical and technical context of screening: the ordinal five-class grading of the disease and the clinical cost of a misgrading, the screening requirements of resource-limited settings, the physics of laser coagulation as bounded theoretical context for referral, the sources of fundus image quality loss and its device-specific component, what the field has achieved with convolutional networks (architectures, transfer and self-supervised pretraining, explainability), and a critical analysis of existing automated screening systems and the conditions that bound their reported figures,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u w:val="none"/>
        </w:rPr>
        <w:t>Chapter 2 — "Methodology of the integrated pipeline"</w:t>
      </w:r>
      <w:r>
        <w:rPr>
          <w:rFonts w:ascii="Times New Roman" w:hAnsi="Times New Roman" w:cs="Times New Roman" w:eastAsia="Times New Roman"/>
          <w:b w:val="0"/>
          <w:i w:val="0"/>
          <w:sz w:val="28"/>
          <w:u w:val="none"/>
        </w:rPr>
        <w:t xml:space="preserve"> specifies the integrated methodology. It formalises the 8-stage preprocessing pipeline stage by stage together with the theoretical foundations of each — canonical orientation and landmark-based rotation normalisation, isotropic resize with centred padding, the field-of-view mask as a fourth input channel, adaptive flat-field correction scaled to per-image geometry, and the dual-constraint clip limit of the CLAHE stage, formalised as the minimum of a histogram-relative and a tile-relative constraint and applied stochastically at training time. It then specifies the classification architectures (ResNet-50 and EfficientNet-B3) and their adaptation to five-class grading with the weighted (Focal) loss, the pretraining and fine-tuning strategy with its frozen-backbone linear-probe acceptance gate, the explainability formalism (Grad-CAM, the Attention–Lesion Overlap metric, IoU) with the image-quality measures, and the evaluation hierarchy and statistical protocol.</w:t>
      </w:r>
    </w:p>
    <w:p>
      <w:pPr>
        <w:ind w:firstLine="709"/>
        <w:jc w:val="both"/>
      </w:pPr>
      <w:r>
        <w:rPr>
          <w:rFonts w:ascii="Times New Roman" w:hAnsi="Times New Roman" w:cs="Times New Roman" w:eastAsia="Times New Roman"/>
          <w:b/>
          <w:i w:val="0"/>
          <w:sz w:val="28"/>
          <w:u w:val="none"/>
        </w:rPr>
        <w:t>Chapter 3 — "Experimental results"</w:t>
      </w:r>
      <w:r>
        <w:rPr>
          <w:rFonts w:ascii="Times New Roman" w:hAnsi="Times New Roman" w:cs="Times New Roman" w:eastAsia="Times New Roman"/>
          <w:b w:val="0"/>
          <w:i w:val="0"/>
          <w:sz w:val="28"/>
          <w:u w:val="none"/>
        </w:rPr>
        <w:t xml:space="preserve"> reports the experimental programme on the tiered corpus: the datasets and experimental configuration; the effect of the pipeline on accuracy under the 2×2 factorial design (Experiment 1); the cumulative stage ablation with the CLAHE clip-limit and flat-field σ sweeps (Experiment 2); the direct measurement of source-to-target distance in penultimate-layer feature space across six external corpora; cross-dataset transfer to APTOS 2019 and external clinical evaluation on IDRiD and Messidor-2 (Experiments 3 and 5), with behaviour across camera groupings (Experiment 6); the agreement of attention maps with expert pixel-level lesion annotation (Experiment 4); training on small clinical samples (Experiment 7); and the statistical validation and the comparative placement of the results against published systems without ranking among them, closing with the limitations and boundary conditions of the approach.</w:t>
      </w:r>
    </w:p>
    <w:p>
      <w:pPr>
        <w:ind w:firstLine="709"/>
        <w:jc w:val="both"/>
      </w:pPr>
      <w:r>
        <w:rPr>
          <w:rFonts w:ascii="Times New Roman" w:hAnsi="Times New Roman" w:cs="Times New Roman" w:eastAsia="Times New Roman"/>
          <w:b/>
          <w:i w:val="0"/>
          <w:sz w:val="28"/>
          <w:u w:val="none"/>
        </w:rPr>
        <w:t>Chapter 4 — "The screening system"</w:t>
      </w:r>
      <w:r>
        <w:rPr>
          <w:rFonts w:ascii="Times New Roman" w:hAnsi="Times New Roman" w:cs="Times New Roman" w:eastAsia="Times New Roman"/>
          <w:b w:val="0"/>
          <w:i w:val="0"/>
          <w:sz w:val="28"/>
          <w:u w:val="none"/>
        </w:rPr>
        <w:t xml:space="preserve"> describes the screening system built around the model, distinguishing throughout what was realised from what remains specification: the modular architecture and its modules, the preprocessing and inference services with their interface, the clinical workflow and the operator interface in which the ophthalmologist reviews and records a verdict, and the deployment envelope and data-protection framework (GDPR/HIPAA-aligned by design), with the applicability to Kazakhstan healthcare infrastructure bounded by the absence of field testing there.</w:t>
      </w:r>
    </w:p>
    <w:p>
      <w:pPr>
        <w:keepNext/>
        <w:spacing w:before="240" w:after="120"/>
        <w:jc w:val="left"/>
      </w:pPr>
      <w:r>
        <w:rPr>
          <w:rFonts w:ascii="Times New Roman" w:hAnsi="Times New Roman" w:cs="Times New Roman" w:eastAsia="Times New Roman"/>
          <w:b/>
          <w:i w:val="0"/>
          <w:sz w:val="28"/>
          <w:u w:val="none"/>
        </w:rPr>
        <w:t>Author's personal contribution</w:t>
      </w:r>
    </w:p>
    <w:p>
      <w:pPr>
        <w:ind w:firstLine="709"/>
        <w:jc w:val="both"/>
      </w:pPr>
      <w:r>
        <w:rPr>
          <w:rFonts w:ascii="Times New Roman" w:hAnsi="Times New Roman" w:cs="Times New Roman" w:eastAsia="Times New Roman"/>
          <w:b w:val="0"/>
          <w:i w:val="0"/>
          <w:sz w:val="28"/>
          <w:u w:val="none"/>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u w:val="none"/>
        </w:rPr>
        <w:t>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four chapters, a conclusion, a list of references used, and five appendices (A–E): the source code of the preprocessing pipeline, supplementary experimental results and confusion matrices, the system-architecture diagrams, the attention-map gallery, and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117 pages, and contains 19 tables and 16 figures. The list of references comprises 99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