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проблемную область и сформулировать научную проблему: клиническую градацию заболевания, требования к скринингу в условиях ограниченных ресурсов, источники и измеренное влияние потери качества изображений глазного дна и её приборную составляющую, а также методологическую практику существующих автоматизированных систем скрининга (Глава 1).</w:t>
      </w:r>
    </w:p>
    <w:p>
      <w:pPr>
        <w:ind w:left="709" w:hanging="397"/>
        <w:jc w:val="both"/>
      </w:pPr>
      <w:r>
        <w:rPr>
          <w:rFonts w:ascii="Times New Roman" w:hAnsi="Times New Roman" w:cs="Times New Roman" w:eastAsia="Times New Roman"/>
          <w:b w:val="0"/>
          <w:i w:val="0"/>
          <w:sz w:val="28"/>
          <w:u w:val="none"/>
        </w:rPr>
        <w:t>2.</w:t>
        <w:tab/>
        <w:t>Специфицировать методологию интегрированной системы «предобработка–CNN»: 8-этапный конвейер поэтапно с теоретическими основаниями каждого этапа (эквализация гистограммы и порог CLAHE с двойным ограничением, пространственная фильтрация, коррекция освещённости), архитектуры классификации (ResNet-50, EfficientNet-B3) и их адаптацию к пятиклассовой градации, стратегию предобучения и дообучения, аппарат интерпретируемости (Grad-CAM, ALO, IoU), а также протокол оценивания и статистической проверки (Глава 2).</w:t>
      </w:r>
    </w:p>
    <w:p>
      <w:pPr>
        <w:ind w:left="709" w:hanging="397"/>
        <w:jc w:val="both"/>
      </w:pPr>
      <w:r>
        <w:rPr>
          <w:rFonts w:ascii="Times New Roman" w:hAnsi="Times New Roman" w:cs="Times New Roman" w:eastAsia="Times New Roman"/>
          <w:b w:val="0"/>
          <w:i w:val="0"/>
          <w:sz w:val="28"/>
          <w:u w:val="none"/>
        </w:rPr>
        <w:t>3.</w:t>
        <w:tab/>
        <w:t>Экспериментально оценить интегрированный конвейер посредством восьми исследований, выполненных на общей основе, — доминирование интегрированного конвейера в факторном плане 2×2 (Эксперимент 1); кумулятивная компонентная абляция со свипами параметров CLAHE и flat-field-коррекции (Эксперимент 2); прямое измерение расстояния «источник—цель» в пространстве признаков на шести внешних корпусах; межнаборная переносимость (Эксперимент 3); интерпретируемость Grad-CAM относительно экспертной разметки очагов (Эксперимент 4); внешнее клиническое качество (Эксперимент 5); доменный сдвиг по устройствам (Эксперимент 6) и обучение в режиме дефицита данных (Эксперимент 7) — вместе со статистической валидацией, помещением результатов в контекст опубликованных систем, а также ограничениями и граничными условиями подхода (Глава 3).</w:t>
      </w:r>
    </w:p>
    <w:p>
      <w:pPr>
        <w:ind w:left="709" w:hanging="397"/>
        <w:jc w:val="both"/>
      </w:pPr>
      <w:r>
        <w:rPr>
          <w:rFonts w:ascii="Times New Roman" w:hAnsi="Times New Roman" w:cs="Times New Roman" w:eastAsia="Times New Roman"/>
          <w:b w:val="0"/>
          <w:i w:val="0"/>
          <w:sz w:val="28"/>
          <w:u w:val="none"/>
        </w:rPr>
        <w:t>4.</w:t>
        <w:tab/>
        <w:t>Построить и описать систему скрининга вокруг модели, пригодную для сред без ускорителей инференса и с прерывистой связностью, с интеграцией телемедицины и электронного здравоохранения, применимую к инфраструктуре здравоохранения Казахстана, и разграничить в ней реализованное и оставшееся спецификацией (Глава 4).</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проектный вклад, реализованный частично в виде работающего демонстратора, который подтверждает осуществимость замысла и его поведение в работе и не служит свидетельством ни для одного диагностического утверждения: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исследования подступают лишь через его следствие, — только по направлению, поскольку величина сокращения расстояния не отслеживает величину прироста качества.</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 более высокое абсолютное внешнее качество, а не устойчивость к деградации); качество сохранено на всех пяти группировках камер при сокращении разброса между ними (Эксперимент 6);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и построен и развёрнут её работающий демонстратор: он выполняет конвейер предобработки и обученный классификатор от начала до конца, строит карты внимания и ведёт запись по каждому случаю, включая вердикт просматривающего офтальмолога. Демонстратор подтверждает осуществимость замысла и показывает его поведение в работе; те ориентированные на внедрение части, которые он не реализует, остаются спецификацией, а клинические испытания внедрения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реализованная частично в виде работающего демонстратора.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демонстратор подтверждает осуществимость замысла и его поведение в работе и не служит свидетельством ни для одного диагностического утверждения; ориентированные на внедрение части архитектуры остаются спецификацией, полевые испытания не проводились.</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Работающий демонстратор архитектуры развёрнут и выполняет инференс на присланных изображениях, что подтверждает осуществимость замысла и показывает его поведение в работе; те ориентированные на внедрение части, которые он не реализует, — интеграция с PACS, взаимодействие с EHR, телемедицинский режим, — остаются проектной спецификацией,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пять работ перечислены ниже.</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2025.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«Автоматизированный скрининг диабетической ретинопатии»</w:t>
      </w:r>
      <w:r>
        <w:rPr>
          <w:rFonts w:ascii="Times New Roman" w:hAnsi="Times New Roman" w:cs="Times New Roman" w:eastAsia="Times New Roman"/>
          <w:b w:val="0"/>
          <w:i w:val="0"/>
          <w:sz w:val="28"/>
          <w:u w:val="none"/>
        </w:rPr>
        <w:t xml:space="preserve"> устанавливает клинический и технический контекст скрининга: пятиклассовую порядковую градацию заболевания и клиническую цену ошибки градации, требования к скринингу в условиях ограниченных ресурсов, физику лазерной коагуляции как ограниченный теоретический контекст направления на лечение, источники потери качества изображений глазного дна и её приборную составляющую, достигнутое в области средствами свёрточных сетей (архитектуры, перенос знаний и самообучаемое предобучение, интерпретируемость), а также критический анализ существующих автоматизированных систем скрининга и условий, ограничивающих приводимые в них показатели, и завершается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«Методология интегрированного конвейера»</w:t>
      </w:r>
      <w:r>
        <w:rPr>
          <w:rFonts w:ascii="Times New Roman" w:hAnsi="Times New Roman" w:cs="Times New Roman" w:eastAsia="Times New Roman"/>
          <w:b w:val="0"/>
          <w:i w:val="0"/>
          <w:sz w:val="28"/>
          <w:u w:val="none"/>
        </w:rPr>
        <w:t xml:space="preserve"> специфицирует интегрированную методологию. Она формализует 8-этапный конвейер предобработки поэтапно вместе с теоретическими основаниями каждого этапа — каноническую ориентацию и нормализацию поворота по опорным точкам, изотропное масштабирование с центрированным дополнением, маску поля зрения как четвёртый входной канал, адаптивную flat-field-коррекцию, масштабируемую по геометрии каждого изображения, и порог CLAHE с двойным ограничением, формализованный как минимум гистограммного и плиточного ограничений и применяемый стохастически при обучении. Далее специфицируются архитектуры классификации (ResNet-50 и EfficientNet-B3) и их адаптация к пятиклассовой градации со взвешенной (Focal) функцией потерь, стратегия предобучения и дообучения с приёмочным гейтом линейного зонда при замороженном экстракторе признаков, аппарат интерпретируемости (Grad-CAM, метрика перекрытия «внимание–очаг», IoU) с метриками качества изображений, а также иерархия оценивания и статистический протокол.</w:t>
      </w:r>
    </w:p>
    <w:p>
      <w:pPr>
        <w:ind w:firstLine="709"/>
        <w:jc w:val="both"/>
      </w:pPr>
      <w:r>
        <w:rPr>
          <w:rFonts w:ascii="Times New Roman" w:hAnsi="Times New Roman" w:cs="Times New Roman" w:eastAsia="Times New Roman"/>
          <w:b/>
          <w:i w:val="0"/>
          <w:sz w:val="28"/>
          <w:u w:val="none"/>
        </w:rPr>
        <w:t>Глава 3 — «Результаты экспериментов»</w:t>
      </w:r>
      <w:r>
        <w:rPr>
          <w:rFonts w:ascii="Times New Roman" w:hAnsi="Times New Roman" w:cs="Times New Roman" w:eastAsia="Times New Roman"/>
          <w:b w:val="0"/>
          <w:i w:val="0"/>
          <w:sz w:val="28"/>
          <w:u w:val="none"/>
        </w:rPr>
        <w:t xml:space="preserve"> излагает экспериментальную программу на уровневом корпусе: наборы данных и конфигурацию экспериментов; влияние конвейера на точность в факторном плане 2×2 (Эксперимент 1); кумулятивную абляцию этапов со свипами порога CLAHE и σ flat-field-коррекции (Эксперимент 2); прямое измерение расстояния «источник—цель» в пространстве признаков предпоследнего слоя на шести внешних корпусах; межнаборный перенос на APTOS 2019 и внешнюю клиническую оценку на IDRiD и Messidor-2 (Эксперименты 3 и 5) с поведением по группировкам камер (Эксперимент 6); согласованность карт внимания с экспертной пиксельной разметкой очагов (Эксперимент 4); обучение на малых клинических выборках (Эксперимент 7); а также статистическую валидацию и помещение результатов в контекст опубликованных систем без ранжирования среди них, завершаясь ограничениями и граничными условиями подхода.</w:t>
      </w:r>
    </w:p>
    <w:p>
      <w:pPr>
        <w:ind w:firstLine="709"/>
        <w:jc w:val="both"/>
      </w:pPr>
      <w:r>
        <w:rPr>
          <w:rFonts w:ascii="Times New Roman" w:hAnsi="Times New Roman" w:cs="Times New Roman" w:eastAsia="Times New Roman"/>
          <w:b/>
          <w:i w:val="0"/>
          <w:sz w:val="28"/>
          <w:u w:val="none"/>
        </w:rPr>
        <w:t>Глава 4 — «Система скрининга»</w:t>
      </w:r>
      <w:r>
        <w:rPr>
          <w:rFonts w:ascii="Times New Roman" w:hAnsi="Times New Roman" w:cs="Times New Roman" w:eastAsia="Times New Roman"/>
          <w:b w:val="0"/>
          <w:i w:val="0"/>
          <w:sz w:val="28"/>
          <w:u w:val="none"/>
        </w:rPr>
        <w:t xml:space="preserve"> описывает систему скрининга, построенную вокруг модели, последовательно разграничивая реализованное и оставшееся спецификацией: модульную архитектуру и её модули, сервисы предобработки и инференса с их интерфейсом, клинический рабочий процесс и интерфейс оператора, в котором офтальмолог просматривает случай и фиксирует вердикт, а также среду развёртывания и систему защиты данных (согласованную с GDPR/HIPAA по замыслу), с применимостью к инфраструктуре здравоохранения Казахстана, ограниченной отсутствием полевых испытаний в стране.</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четыре главы, заключение, список использованных источников и пять приложений: исходный код конвейера предобработки, дополнительные экспериментальные результаты и матрицы ошибок, диаграммы архитектуры системы,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117 страницах и содержит 19 таблиц и 16 рисунков. Список использованных источников насчитывает 99 наименований.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