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ретинопатияны емдеу кезіндегі лазерлік коагуляцияны қолдау»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Зерттеу бағыты мына құжаттарға сай:</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Диссертация мемлекеттік бюджеттен қаржыландырылмаған және мемлекеттік бағдарлама не институционалдық мандат аясында орындалмаған, әрі том мұны оқырманның топшылауына қалдырмай, тікелей мәлімдейді. Мұндай дәлдікті дұрыс деп санаймын: жұмыс бағыттың сәйкестігін мәлімдейді, одан артығын емес. Пәндік сала – ауылдық және ресурсы шектеулі денсаулық сақтау жағдайында диабеттік ретинопатияны автоматтандырылған скринингтен өткізу – ұлттық электрондық денсаулық сақтау күн тәртібіне тікелей кіреді.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Жұмыстың ғылыми маңыздылығы конволюциялық желілерді көз түбі кескіндеріне қолдануда емес – бұл бүгінде қалыптасқан тәжірибе, – ізденушінің эксперименттік бақылауға алған нысанында. Үстем дәстүр алдын ала өңдеуді деректерді көмекші дайындау деп қарайды, өйткені жеткілікті терең желі қажетті инварианттарды «шикі» пикселдерден өзі үйренеді деп болжайды; ізденуші алдын ала өңдеуді диагностикалық модельдің байланыстырушы компоненті ретінде қайта пайымдайды, себебі дәл сол желіге қолжетімді белгілер кеңістігін айқындайды және сол арқылы желінің нені үйрене алатынын бірге анықтайды.</w:t>
            </w:r>
          </w:p>
          <w:p>
            <w:pPr>
              <w:spacing w:line="240" w:lineRule="auto"/>
              <w:ind w:firstLine="0"/>
            </w:pPr>
            <w:r>
              <w:rPr>
                <w:rFonts w:ascii="Times New Roman" w:hAnsi="Times New Roman" w:cs="Times New Roman" w:eastAsia="Times New Roman"/>
                <w:b w:val="0"/>
                <w:i w:val="0"/>
                <w:sz w:val="28"/>
                <w:u w:val="none"/>
              </w:rPr>
              <w:t xml:space="preserve">Бұл пайымдауды бағдарламалық мәлімдемеден ғылыми нәтижеге айналдыратын жайт – қайта пайымдау постулат ретінде алынбай, конвейерсіз оқытылған баламалы конфигурациямен бақыланатын салыстыруға қойылған, әрі екі архитектура тұқымдасында, сәттілік критерийі оны тексерген экспериментке дейін бекітілген. Маңыздылықтың екінші элементі өзге мағынада әдіснамалық: тасымалдаудағы ұтысты түсіндіру үшін әдетте </w:t>
            </w:r>
            <w:r>
              <w:rPr>
                <w:rFonts w:ascii="Times New Roman" w:hAnsi="Times New Roman" w:cs="Times New Roman" w:eastAsia="Times New Roman"/>
                <w:b w:val="0"/>
                <w:i/>
                <w:sz w:val="28"/>
                <w:u w:val="none"/>
              </w:rPr>
              <w:t>тартылатын</w:t>
            </w:r>
            <w:r>
              <w:rPr>
                <w:rFonts w:ascii="Times New Roman" w:hAnsi="Times New Roman" w:cs="Times New Roman" w:eastAsia="Times New Roman"/>
                <w:b w:val="0"/>
                <w:i w:val="0"/>
                <w:sz w:val="28"/>
                <w:u w:val="none"/>
              </w:rPr>
              <w:t xml:space="preserve"> механизм – оқыту мен нысаналы таралулар арасындағы қашықтықтың қысқаруы – мұнда алдыңғы соңғы қабатта, белгіленген хаттамалық шарт кезінде </w:t>
            </w:r>
            <w:r>
              <w:rPr>
                <w:rFonts w:ascii="Times New Roman" w:hAnsi="Times New Roman" w:cs="Times New Roman" w:eastAsia="Times New Roman"/>
                <w:b w:val="0"/>
                <w:i/>
                <w:sz w:val="28"/>
                <w:u w:val="none"/>
              </w:rPr>
              <w:t>өлшенеді</w:t>
            </w:r>
            <w:r>
              <w:rPr>
                <w:rFonts w:ascii="Times New Roman" w:hAnsi="Times New Roman" w:cs="Times New Roman" w:eastAsia="Times New Roman"/>
                <w:b w:val="0"/>
                <w:i w:val="0"/>
                <w:sz w:val="28"/>
                <w:u w:val="none"/>
              </w:rPr>
              <w:t xml:space="preserve"> және осылайша түсіндірмелік әдеттен теріске шығарылуы мүмкін шамаға айналады. Жұмыстың маңыздылығы томда айқын әрі асыра сілтеусіз ашылған.</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8 кезеңді конвейерді формализациялау, бақыланатын эксперименттер жоспары, статистикалық валидация жүйесі және скрининг жүйесінің архитектурасы – ізденушінің жеке жұмысы, әрі том осы жұмыстың шекарасын тікелей белгілейді, оның ішінде конвейердің бір кезеңі диссертацияда тұңғыш пайда болмай, оның бұрын жарияланған нәтижелерін дамытатын жағдайды да.</w:t>
            </w:r>
          </w:p>
          <w:p>
            <w:pPr>
              <w:spacing w:line="240" w:lineRule="auto"/>
              <w:ind w:firstLine="0"/>
            </w:pPr>
            <w:r>
              <w:rPr>
                <w:rFonts w:ascii="Times New Roman" w:hAnsi="Times New Roman" w:cs="Times New Roman" w:eastAsia="Times New Roman"/>
                <w:b w:val="0"/>
                <w:i w:val="0"/>
                <w:sz w:val="28"/>
                <w:u w:val="none"/>
              </w:rPr>
              <w:t>Пікіріме қосымша екі жайт әсер етеді. Біріншісі – біріктірілген тармақтың инициализациясына қойылған қабылдау шлюзі: ізденуші алдын ала оқыту стратегиясын жорамалдамай,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бұл шлюзден өте алмағанын хабарлайды. Алдын ала белгілі қорытындыға жұмыс істейтін зерттеуші мұны жарияламайды. Екіншісі – сыртқы тұрақтылықтың кең қолданылатын үш өлшеміне ортақ құрылымдық ақауды аналитикалық түрде анықтауы; бұл тұжырым оның бірде-бір өз нәтижесін ақтамайтынын толық түсіне отырып жасалған. Екеуі де – орындаушының емес, дербес зерттеушінің белгісі. Тақырып бойынша бес жарияланымның екеуінде ізденуші бірінші автор.</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бірден екі жақтан негізделген, әрі олардың ешқайсысы мәлімдеме деңгейінде қалмаған. Клиникалық тұрғыдан: диабеттік ретинопатия еңбекке қабілетті жастағы халық арасында алдын алуға болатын соқырлықтың жетекші себептерінің қатарына кіреді, оның ерте сатылары симптомсыз өтеді, ал скрининг қамтуын камералардың бар-жоғы емес, офтальмологтардың саны шектейді – ауылдық және ресурсы шектеулі жағдайда бұл әсіресе өткір. Әдіснамалық тұрғыдан: том нақты олқылықты атайды – алдын ала өңдеуді диагностикалық модельдің компоненті ретінде формализацияланған әрі эксперименттік бақыланатын тұрғыда қарастырудың болмауы, – әрі жұмыс бұдан кейін тек клиникалық уәжге емес, дәл осы олқылыққа бағытталады.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көз түбі кескіндерін жақсарту мен CNN арқылы жіктеуді атайды, ал мазмұн оларды екі дәйекті қадам емес, біртұтас нысан ретінде қарастырады: 8 кезеңді конвейер модельдің бөлігі ретінде спецификацияланған, әрі әрбір эксперимент өзі қоректендіретін желіден бөлек алынған алдын ала өңдеуді емес, интеграцияны манипуляциялайды. Үдеріс тұтастай – кескін камерадан шыққан күйінен бастап модель тағайындайтын бес класты дәрежеге дейін – қадағаланады, тақырыптың тұжырымдамасы дәл осыны уәде 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 жақсарту мен жіктеудің біріктірілген жүйесін әзірлеу және бақыланатын салыстыруда осы спецификация қандай айырма беретінін анықтау – міндет сайын жауап алады: проблемалық сала (1-тарау), интеграцияланған әдіснама (2-тарау), эксперименттік бағдарлама (3-тарау), скрининг жүйесінің архитектурасы (4-тарау). Төрт міндет, төрт тарау, әрі нәтижесі хабарланбаған бірде-бір міндет жоқ.</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біртұтас дәлелдеме ретінде құрылған және солай оқылады. Шешуші деп мына құрылымдық ерекшелікті санаймын: әрбір гипотеза өзінің қабылдау критерийімен бірге оны тексеретін экспериментке </w:t>
            </w:r>
            <w:r>
              <w:rPr>
                <w:rFonts w:ascii="Times New Roman" w:hAnsi="Times New Roman" w:cs="Times New Roman" w:eastAsia="Times New Roman"/>
                <w:b w:val="0"/>
                <w:i/>
                <w:sz w:val="28"/>
                <w:u w:val="none"/>
              </w:rPr>
              <w:t>дейін</w:t>
            </w:r>
            <w:r>
              <w:rPr>
                <w:rFonts w:ascii="Times New Roman" w:hAnsi="Times New Roman" w:cs="Times New Roman" w:eastAsia="Times New Roman"/>
                <w:b w:val="0"/>
                <w:i w:val="0"/>
                <w:sz w:val="28"/>
                <w:u w:val="none"/>
              </w:rPr>
              <w:t xml:space="preserve"> тұжырымдалады және сол эксперименттен жауап алады – жауап ішінара болған жағдайда да, мысалы сапалық жартысы орындалмаған әрі орындалмағаны тікелей хабарланған түсіндірілу гипотезасындағыдай. Теріс және ішінара нәтижелер жол-жөнекей тасталмай, қорытынды қағидаттарға дейін жеткізіледі, ал бұл проблемадан қорытындыға дейінгі тізбекті екі бағытта да қадағалауға мүмкіндік береді.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1-тараудағы бар автоматтандырылған скрининг жүйелеріне жасалған сыни талдау – автордың өз салыстырмалы оқуы, дәйексөздер жинағы емес: жүйелер салыстырылған, шектеулері дәлелденген, ал «ұштан-ұшқа» парадигма жалпы сөзбен емес, нақты негізде сынға алынған. Бұдан әрі жұмыс жарияланған жүйелердің контексіне рангіленбей қойылады – салыстырылатын жазбалардың ешқандай екеуі есептің қойылымы, корпусы, эталондық стандарты мен метрикасы бойынша бір мезгілде сәйкес келмейтіндіктен. Рейтингтік кестеден бас тартуды кемшілік емес, ойластырылған әдіснамалық ұстаным деп санаймын.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Жаңалық желіні таңдауда емес, модельдің спецификациясында шоғырланған. Ең алдымен мыналарды атаймын: диагностикалық модельдің компоненті ретінде формализацияланған 8 кезеңді конвейер, онда көру өрісінің маскасы желіге RGB-мен қатар 4-кіріс арна ретінде беріледі; LAB L-арнасындағы қос шектеулі стохастикалық CLAHE, мұнда CL = min(clip_factor × tile_area / 256, global_threshold × tile_area) шегі оқыту кезінде 80 % ықтималдықпен қолданылады, сол арқылы бір кезең бір мезгілде жақсарту операторы әрі регуляризация көзі қызметін атқарады; Гаусс параметрі тұрақты жаһандық мәннің орнына нақты кескіннің көру өрісі диаметрі бойынша масштабталатын (σ = 0,07 × D) және тек масканың ішінде қолданылатын жарық өрісін адаптивті түзету; іске асыру бөлшегі емес, конвейердің жеке кезеңі ретінде енгізілген айқын бинарлы көру өрісі маскасы; және бірыңғай инициализация кезіндегі кумулятивтік абляция, ол алдын ала өңдеудің үлесін факторлық жоспар оны сөзсіз шатастыратын инициализациядан ажыратады.</w:t>
            </w:r>
          </w:p>
          <w:p>
            <w:pPr>
              <w:spacing w:line="240" w:lineRule="auto"/>
              <w:ind w:firstLine="0"/>
            </w:pPr>
            <w:r>
              <w:rPr>
                <w:rFonts w:ascii="Times New Roman" w:hAnsi="Times New Roman" w:cs="Times New Roman" w:eastAsia="Times New Roman"/>
                <w:b w:val="0"/>
                <w:i w:val="0"/>
                <w:sz w:val="28"/>
                <w:u w:val="none"/>
              </w:rPr>
              <w:t>Том CLAHE тұжырымдамасының ізденушінің бұрын жарияланған жұмыстарын дамытатынын және мұндағы жаңалық оның формализациялануы, спецификацияланған конвейерге ендірілуі мен бес класты дәрежелеу міндетінде валидациялануы екенін дұрыс көрсетеді. Тағы екі үлес ниет бойынша эмпирикалық емес әрі солай жарияланған: лазерлік әсер кезіндегі көз түбі тіндері жауабының байланысқан термооптикалық моделі – теориялық және есептеу үлесі, скрининг жүйесінің архитектурасы – жобалық үлес.</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оларды көтеретін нәтижелермен бірдей мағынада жаңа, ал екеуі одан да күштірек мағынада жаңа. Біріншісі – жекелеген кезеңдердің үлесі топтар деңгейінде бөлінеді әрі реттеледі, оның ішінде екі фотометриялық кезең алда келеді: бұл әдебиет әдетте біртұтас, мүшеленбейтін қадам ретінде қарастыратын алдын ала өңдеу режимінің ішкі құрылымы туралы тұжырым. Екіншісі – тасымалдау мінез-құлқын түсіндіру үшін тартылатын механизм салдарынан қорытылмай, тікелей өлшенуге келеді, әрі өлшенгенде қысқару әрбір сыртқы корпуста табылады, ал оның шамасы сапа өсімінің шамасын қадағаламайды. Екі қорытынды да жұмыстың өз өлшемдерінен туындайды және сол өлшемдер қолдайтын күште тұжырымдалған.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Техникалық шешімдер жаңа әрі, ең бастысы, сеніммен қабылданбай негізделген: екі фотометриялық кезеңнің параметр мәндері бөлек қалдырылған деректерде расталған ішкі оптимумдары бар свиптермен анықталған; біріктірілген тармақтың инициализациясы жорамалмен емес, қабылдау шлюзімен шешілген; төрт арналы кіріс өкілдігі өзі болдырмайтын артефактімен дәлелденген. Скрининг жүйесінің модульдік архитектурасы – скринингтік жұмыс үдерісі үшін жаңа технологиялық және басқару шешімі, жобалық спецификация ретінде ұсынылады.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шамамен 35 126 белгіленген EyePACS кескінінде деректердің ағып кетуін бақылаумен пациент деңгейінде стратификацияланған 5-fold cross-validation-ға сүйенеді, әрі әрбір бастапқы метрика жалғыз көрсеткішке жинақталмай, төрт өлшем бойынша – weighted F1, ROC-AUC, квадраттық салмақты Cohen's Kappa және accuracy – «орташа ± стандартты ауытқу» түрінде беріледі.</w:t>
            </w:r>
          </w:p>
          <w:p>
            <w:pPr>
              <w:spacing w:line="240" w:lineRule="auto"/>
              <w:ind w:firstLine="0"/>
            </w:pPr>
            <w:r>
              <w:rPr>
                <w:rFonts w:ascii="Times New Roman" w:hAnsi="Times New Roman" w:cs="Times New Roman" w:eastAsia="Times New Roman"/>
                <w:b w:val="0"/>
                <w:i w:val="0"/>
                <w:sz w:val="28"/>
                <w:u w:val="none"/>
              </w:rPr>
              <w:t>Статистикалық қолдауды McNemar мен DeLong тестілері, кемінде 1000 ресэмпл бойынша bootstrap сенімділік аралықтары, көп салыстыруға арналған Holm/Bonferroni түзетулері және фолдтар бойынша аралас әсерлер моделі береді. Негізгі салыстыруда екі тармақтың сенімділік аралықтары төрт бастапқы метриканың бірде-бірінде қиылыспайды. Сәттілік критерийлерінің оларды тексерген эксперименттерге дейін бекітілгеніне бөлек мән беремін: нәтиже белгілі болғаннан кейін жазылған критерий әрқашан қанағаттандырылуы мүмкін, ал алынатын жіктемені ақпаратты ететін нәрсе – дәл осы реттілік.</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Қағидат әдіснамалық әрі эмпирикалық емес, том оны дәл осы күште ұсынады: нәтижелер зерттелген жағдайларда онымен үйлеседі, бірақ оны әмбебап түрде орнықтырмайды.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бес класты жіктеуде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қанағаттандырылды: Δ weighted F1 +6,54 пп және +6,55 пп, Δ ROC-AUC +0,0320 және +0,0360, Δ Kappa +0,1129 және +0,1103; DeLong p = 0,0041 және 0,0028, McNemar p = 0,0057 және 0,0041, Holm түзетуінен кейін 0,0082 және 0,0056; «тармақ × архитектура» өзара әрекеттесуі мәнді емес (p = 0,31). Екі тармақ алдын ала өңдеумен ғана емес, инициализациямен де ерекшеленетіндіктен, қағидат конфигурацияға тұтас қатысты етіп дұрыс тұжырымдалған.</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Қос шектеулі CLAHE параметрлері мен flat-field σ параметрі зерттелген диапазондарда ішкі оптимум көрсетеді, бұл бөлек қалдырылған деректерде расталды.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Екі оптимум да қаралған диапазондардың ішінде жатыр және бөлек қалдырылған деректерде расталды (тиісінше +0,0599 және +0,0574). Том оптималды мәндердің тасымалданатын тұрақтылар емес, осы корпус пен конвейердің қасиеттері екенін көрсетеді.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Конвейердің жекелеген кезеңдерінің үлестері бөлінеді, фолдтар бойынша монотонды және реттелуге келеді, әрі екі фотометриялық кезең алда келеді.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Әрбір кезең ауысуы өз деңгейінің фолдаралық шашырауынан асты, монотондық бес фолдтың әрқайсысында сақталды, ал 0,7538 → 0,8193 кумулятивтік өсімі домен ішілік айырманың бүкілін қайта жаңғыртады. Реттеу тек топтар деңгейінде ұсынылады, көрші рангтер шу шегінде жатыр, әрі том мұны айтады.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сыртқы корпустың бәрінде қысқарды, әрбір аралық нөлді қамтымайды, әрі түрлендіруге нысаналы корпустың бірде-бір статистикасы кірмейді. Қағидат тек бағыт бойынша ұсынылады.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EyePACS-те конвейермен оқытылған модель APTOS 2019-ға қосымша оқытусыз тасымалданады, алдын ала тіркелген G ≥ 0,85 коэффициентінен өтеді әрі әрбір класта базалық конфигурациядан асады.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Табалдырықтан базалық тармақ та өтеді, сондықтан критерий тармақтарды ажыратпайды, ал дәлел салыстыруда жатыр – бұл оқуды томның өзі жасайды.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Біріктірілген конфигурацияда модельдің назары сарапшының пиксел деңгейіндегі ошақ аннотациясымен тығызырақ үйлеседі.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бастапқы және екінші өлшем бойынша да әрі назар табалдырығы бойынша орнықты түрде расталған. Бұл – модель дәлелі мен сарапшы аннотациясының үйлесімділігі, патологияны клиникалық локализациялау емес, бір аннотацияланған корпуста және бір фолдта.</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Жіктеу сапасы зерттелген барлық камералық топта сақталады, ал осы топтар арасындағы сапа шашырауы азаяды.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топаралық шашыраудың қысқаруы. Бес топтың екеуі – сыртқы клиникалық корпустардың өздері әрі тәуелсіз қайталауды бермейді; бұның ешқайсысы құрылғыларды сертификаттауды құрамайды.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Біріктірілген конфигурация екі сыртқы клиникалық корпуста да базалықтан жоғары абсолюттік weighted F1-ге жетеді,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және 0,6282 → 0,6823, әр корпуста бөлек бағаланған. Қағидат жоғарырақ абсолюттік сыртқы сапа туралы ұсынылады және деградацияға төзімділік ретінде тікелей ұсынылмайды: өз домен ішілік деңгейлеріне қатысты екі конфигурация да шамамен бірдей төмендейді.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алады, сондықтан конфигурацияны домен ішілік күші үшін жазалайды.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Нәтиже аналитикалық әрі қатаң сипаттамалы және осы жұмыстың бірде-бір нәтижесін ақтамайды.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Көз түбі тіндерінің лазерлік әсерге жауабының байланысқан термооптикалық моделі және ресурсы шектеулі орталарға арналған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ретінде ұсынылады – модель клиникалық валидацияланбаған, ал архитектура прототиптелмеген әрі далалық сынақтан өткізілмеген.</w:t>
            </w:r>
          </w:p>
          <w:p>
            <w:pPr>
              <w:spacing w:line="240" w:lineRule="auto"/>
              <w:ind w:firstLine="0"/>
            </w:pPr>
            <w:r>
              <w:rPr>
                <w:rFonts w:ascii="Times New Roman" w:hAnsi="Times New Roman" w:cs="Times New Roman" w:eastAsia="Times New Roman"/>
                <w:b w:val="0"/>
                <w:i w:val="0"/>
                <w:sz w:val="28"/>
                <w:u w:val="none"/>
              </w:rPr>
              <w:t>Әрбір қағидаттың том одан ажырамайды деп санайтын ескертпемен ұсынылатынын, әрі клиникалық валидтіліктің, автономды енгізуге дайындықтың, құрылғыларды сертификаттаудың және патологияны локализациялаудың қорғауға шығарылатындар қатарынан тікелей алып тасталғанын мақұлдай отырып атап өтемін.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Әдіснама қайталауға болатын деңгейде сипатталған: бес класты дәрежелеу, γ = 2 және класс жиілігіне кері салмақтары бар Focal Loss, 512 × 512 кіріс ажыратымдылығы, бір архитектура үшін қосылып, екіншісі үшін әдейі өшірілген аралас дәлдік, фолдтардың пациент деңгейінде стратификациялануы және сыртқы кескіндерді қабылдау хаттамасы. Әрбір элементтің таңдауы мәлімделмей дәлелденген, ал конвейер өз операторларымен, параметрлерімен және қолданылу тәртібімен кезең-кезеңімен спецификацияланған.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міндетке сай: екі қалыптасқан backbone тұқымдасында конволюциялық жіктеу, білімді тасымалдау мен домен ішілік алдын ала оқыту, пиксел деңгейіндегі белгілеуге қатысты градиенттік назар талдауы, алдыңғы соңғы қабат белгілері бойынша таралымдық өлшем және ресэмплингке негізделген статистикалық аппарат. Есептеу контуры болжамға қалдырылмай мәлімделген – 12 ГБ жалғыз үдеткіш, пакет өлшемі 16, – ал нәтижелерді жақсы жабдықталған зертханадан тыс қайталауға болатын ететін нәрсе дәл осы.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экспериментке жеткізіледі. Кумулятивтік абляция өзі мәлімдеген ыдыратуды растайды: әрбір кезең ауысуы өз деңгейінің фолдаралық шашырауынан асатын үлес берді, монотондық бес фолдтың әрқайсысында сақталды, екі фотометриялық кезең алда келеді (flat-field +0,0143, CLAHE +0,0125, бірге жалпы өсімнің шамамен 41 %-ы), ал абляцияның өзі бірыңғай инициализация кезінде +0,0655 домен ішілік өсімнің бүкілін қайта жаңғыртады. Кескін сапасы бойынша дәлелдер жіктеуіштен тәуелсіз – контраст/шу қатынасымен, энтропиямен және SSIM-мен – келтіріледі.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Томдағы әрбір мазмұнды тұжырым сілтемемен қамтамасыз етілген, әрі сілтеме аппараты мөлшерлес: сала жылдам өзгеретін жерде жаңа дереккөздер, ал кескінді өңдеу операторлары үшін ескілеу, орныққан дереккөздер. Тұжырым ізденушінің өзіне тиесілі жерде – CLAHE тұжырымдамасындағыдай – том нәтижені толықтай жаңа етіп көрсетпей, оның өз алдыңғы жарияланымын дереккөз ретінде атайды.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Дереккөздер тізімі 99 атауды қамтиды әрі шолуға жеткілікті: терең оқыту бөлігінде өзекті, клиникалық бөлігінде орынды сақ.</w:t>
            </w:r>
          </w:p>
          <w:p>
            <w:pPr>
              <w:spacing w:line="240" w:lineRule="auto"/>
              <w:ind w:firstLine="0"/>
            </w:pPr>
            <w:r>
              <w:rPr>
                <w:rFonts w:ascii="Times New Roman" w:hAnsi="Times New Roman" w:cs="Times New Roman" w:eastAsia="Times New Roman"/>
                <w:b w:val="0"/>
                <w:i w:val="0"/>
                <w:sz w:val="28"/>
                <w:u w:val="none"/>
              </w:rPr>
              <w:t>Томның өз аппаратының үш шектеуін мәлімдеуін әлсіздіктің емес, дәйектіліктің белгісі деп санаймын: көп салыстыруға түзету салыстырулар жоспарланған сол эксперименттің шеңберімен шектелген, сондықтан диссертация ауқымындағы қателік ықтималдығы мәлімделмейді; бірқатар бағалау бір оқытылған фолдтың модельдеріне сүйенеді және олардың аралықтары толық белгісіздікті белгілі бағытта төмендетеді; бір эксперимент қайта таратуға жатпайтын клиникалық корпусқа сүйенеді, сондықтан сырттай қайталанбайды.</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маңызды қайта пайымдаудың өзі құрайды – алдын ала өңдеу желіге қолжетімді белгілер кеңістігін бірге айқындайтын компонент ретінде – және ол талап еткен формализациялар: 8 кезеңді конвейердің спецификациясы, қос шектеулі CLAHE шегі, бейімделгіш flat-field-түзету және ALO түсіндірілу метрикасы. Олардың қасында өзге сипаттағы үлес тұр: осы кезге дейін тек түсіндірме ретінде тартылып келген механизм белгіленген хаттамалық шарт кезінде өлшенетін етілді, бұл механистік тұжырымды ол түсіндіретін сапа тұжырымдарынан тәуелсіз теріске шығарылатын 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Тікелей практикалық нәтиже – конвейердің өзі: толық спецификацияланған, қайталанатын алдын ала өңдеу режимі, кезең-кезеңімен анықталған, іске асырылуы қосымшада, ал есептеу контуры мәлімделген – 12 ГБ жалғыз үдеткіш, пакет өлшемі 16 және 512 × 512 кіріс, бұл облыстық диагностикалық орталықтың қолы жететін деңгей. Нәтижені жай ғана хабарланған емес, өзгелердің пайдалануына жарамды ететін нәрсе дәл осы. Скрининг жүйесінің модульдік архитектурасы Қазақстанның ауылдық және шалғай өңірлеріне қолданылады; оны жобалық спецификация ретінде оқу керек – прототип іске асырылмаған, клиникалық жағдайда енгізу сыналмаған, деректерді қорғау ережелері жоба бойынша сәйкестік, ал диагноз дәрігерде қалады.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ұсыныстар тұтастай жаңа: операторлар, параметрлер және қолданылу тәртібі деңгейіне дейін спецификацияланған алдын ала өңдеу режимі, оны store-and-forward режиміндегі телемедицинамен және «дәрігер-контурда» шешім қабылдауды қолдаумен скринингтік жұмыс үдерісіне енгізетін архитектурамен бірге. Параметр мәндері олар бекітілген корпустардың қасиеттері болып қалады әрі жаңа түсіру жағдайлары үшін қайта анықтауды талап етеді, том бұл туралы тікелей айтады.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117 бетте баяндалған, 19 кесте, 16 сурет және төрт сызбадан тұрады, дереккөздер тізімінде 99 атау бар. Белгілеулер біркелкі, қысқартулар жеке тізілімде жарияланған,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Дегенмен бөлек атап өткім келетіні – полиграфиялық сапа емес. Мәтіннің академиялық регистрі тәртіпті: тұжырымдар деректер қолдайтын күште жасалады және ескертпелерін алыстағы шектеулер бөлімінде емес, тікелей қасында алып жүреді; теріс және ішінара нәтижелер үнсіз тасталмай, қорытынды қағидаттарға дейін жеткізіледі; орнықтырылған мен жобаланғанның арасындағы шекара ол маңызды болатын әрбір бетте көрініп тұрады. Мұндай көлемде бұл стандартты ұстап тұру қиын, ал ізденуші оны ұстап тұрады.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Конвейердің 3-кезеңі – көру өрісі маскасын генерациялау және оны 4-кіріс арна ретінде енгізу – кумулятивтік абляцияда оқшау бөлінбеген: тиісті деңгей 2 және 3-кезеңдерді бірге қолданады, сондықтан автор ғылыми жаңалық элементтерінің қатарына жатқызатын маска арнасының жеке үлес бағасы жоқ. Бірлескен деңгей мәнді, бірақ оның мәнділігі көру өрісі бойынша қиюмен бөлісілген. Бір кезеңдік деңгей қосу, ал ол мүмкін болмаса, осы элемент үшін жеке баға жоқ екенін тарау мәтінінде көрсету қажет.</w:t>
            </w:r>
          </w:p>
          <w:p>
            <w:pPr>
              <w:spacing w:line="240" w:lineRule="auto"/>
              <w:ind w:firstLine="0"/>
            </w:pPr>
            <w:r>
              <w:rPr>
                <w:rFonts w:ascii="Times New Roman" w:hAnsi="Times New Roman" w:cs="Times New Roman" w:eastAsia="Times New Roman"/>
                <w:b w:val="0"/>
                <w:i/>
                <w:sz w:val="28"/>
                <w:u w:val="none"/>
              </w:rPr>
              <w:t>2. Абляция кумулятивтік, ал кезеңдер реті бекітілген, сондықтан әрбір кезеңнің үлесі алдыңғылары қолданылып қойған күйде өлшенеді. Демек, келтірілген рангілеу ретке тәуелді және оған қатысты инвариантты емес. Том бұдан хабардар, бірақ ескертпе негізінен тиісті қағидатқа берілген түсіндірмелердің құрамында жүреді; ол рангілеу алғаш ұсынылатын жерде жеке сөйлемге лайық.</w:t>
            </w:r>
          </w:p>
          <w:p>
            <w:pPr>
              <w:spacing w:line="240" w:lineRule="auto"/>
              <w:ind w:firstLine="0"/>
            </w:pPr>
            <w:r>
              <w:rPr>
                <w:rFonts w:ascii="Times New Roman" w:hAnsi="Times New Roman" w:cs="Times New Roman" w:eastAsia="Times New Roman"/>
                <w:b w:val="0"/>
                <w:i/>
                <w:sz w:val="28"/>
                <w:u w:val="none"/>
              </w:rPr>
              <w:t>3. Бірқатар бағалау – жиынаралық тасымалдау, түсіндірілу талдауы және сыртқы клиникалық бағалау – бір оқытылған фолдтың чекпойнттеріне сүйенеді. Сондықтан келтірілген аралықтар тек бағалау корпусының іріктемесін сипаттайды, оқытудың өзгергіштігін емес. Автор мұны шектеулердің қатарында көрсетеді, әрі дұрыс көрсетеді; дегенмен оқырман ескертпені санмен бірге, бірнеше тараудан кейін емес, сол жерде кездестіруі үшін бір фолдтық негізді тиісті кестелердің тақырыпшаларында атауды ұсынамын.</w:t>
            </w:r>
          </w:p>
          <w:p>
            <w:pPr>
              <w:spacing w:line="240" w:lineRule="auto"/>
              <w:ind w:firstLine="0"/>
            </w:pPr>
            <w:r>
              <w:rPr>
                <w:rFonts w:ascii="Times New Roman" w:hAnsi="Times New Roman" w:cs="Times New Roman" w:eastAsia="Times New Roman"/>
                <w:b w:val="0"/>
                <w:i w:val="0"/>
                <w:sz w:val="28"/>
                <w:u w:val="none"/>
              </w:rPr>
              <w:t>Аталған ескертулер алынған нәтижелердің мәніне қатысты емес және жұмысқа берген жалпы оң бағамды өзгертпейді.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Негізгі нәтижелер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 DS 2025, Стамбул қ., Түркия).</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 тақырыбына сәйкес келеді және оның негізгі бағыттарын – көз түбі кескіндерін жақсартуды, алдын ала өңдеу мен талдау әдістерін, ақпараттық жүйе архитектурасын және көз түбі тіндеріне лазерлік әсерді математикалық модельдеуді – қамтиды. Олардың ғылыми деңгейі докторлық диссертацияны қорғауға қойылатын талаптарға жауап береді.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«Компьютерлік инженерия»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техника ғылымдарының кандидаты,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Бектемысова Гулнара Умиткуловна</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