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ABSTRACT</w:t>
      </w:r>
    </w:p>
    <w:p>
      <w:pPr>
        <w:ind w:firstLine="709"/>
        <w:jc w:val="both"/>
      </w:pPr>
      <w:r>
        <w:rPr>
          <w:rFonts w:ascii="Times New Roman" w:hAnsi="Times New Roman" w:cs="Times New Roman" w:eastAsia="Times New Roman"/>
          <w:b/>
          <w:i w:val="0"/>
          <w:sz w:val="28"/>
        </w:rPr>
        <w:t>of the PhD thesis by Yesmukhamedov Nurmaganbet Seitkaliuly on «Automated Diabetic Retinopathy Diagnosis via Fundus Image Enhancement and CNN Classification», submitted for the degree of Doctor of Philosophy (PhD) in the educational programme (EP) 8D06104 — Computer systems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General characteristics of the research</w:t>
      </w:r>
    </w:p>
    <w:p>
      <w:pPr>
        <w:ind w:firstLine="709"/>
        <w:jc w:val="both"/>
      </w:pPr>
      <w:r>
        <w:rPr>
          <w:rFonts w:ascii="Times New Roman" w:hAnsi="Times New Roman" w:cs="Times New Roman" w:eastAsia="Times New Roman"/>
          <w:b w:val="0"/>
          <w:i w:val="0"/>
          <w:sz w:val="28"/>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rPr>
        <w:t>Relevance of the research topic</w:t>
      </w:r>
    </w:p>
    <w:p>
      <w:pPr>
        <w:ind w:firstLine="709"/>
        <w:jc w:val="both"/>
      </w:pPr>
      <w:r>
        <w:rPr>
          <w:rFonts w:ascii="Times New Roman" w:hAnsi="Times New Roman" w:cs="Times New Roman" w:eastAsia="Times New Roman"/>
          <w:b w:val="0"/>
          <w:i w:val="0"/>
          <w:sz w:val="28"/>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rPr>
        <w:t xml:space="preserve">The dominant tradition in automated DR diagnosis — here designated paradigm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rPr>
        <w:t xml:space="preserve">This work advances an alternative paradigm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rPr>
        <w:t>Aim of the research</w:t>
      </w:r>
    </w:p>
    <w:p>
      <w:pPr>
        <w:ind w:firstLine="709"/>
        <w:jc w:val="both"/>
      </w:pPr>
      <w:r>
        <w:rPr>
          <w:rFonts w:ascii="Times New Roman" w:hAnsi="Times New Roman" w:cs="Times New Roman" w:eastAsia="Times New Roman"/>
          <w:b w:val="0"/>
          <w:i w:val="0"/>
          <w:sz w:val="28"/>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rPr>
        <w:t>Objectives of the research</w:t>
      </w:r>
    </w:p>
    <w:p>
      <w:pPr>
        <w:ind w:left="709" w:hanging="397"/>
        <w:jc w:val="both"/>
      </w:pPr>
      <w:r>
        <w:rPr>
          <w:rFonts w:ascii="Times New Roman" w:hAnsi="Times New Roman" w:cs="Times New Roman" w:eastAsia="Times New Roman"/>
          <w:b w:val="0"/>
          <w:i w:val="0"/>
          <w:sz w:val="28"/>
        </w:rPr>
        <w:t>1.</w:t>
        <w:tab/>
        <w:t>To analyse the medical, epidemiological, and technical context of automated DR diagnosis, the sources of fundus image quality variability, and the current state of CNN-based screening systems, and to formulate the research problem (Chapter 1).</w:t>
      </w:r>
    </w:p>
    <w:p>
      <w:pPr>
        <w:ind w:left="709" w:hanging="397"/>
        <w:jc w:val="both"/>
      </w:pPr>
      <w:r>
        <w:rPr>
          <w:rFonts w:ascii="Times New Roman" w:hAnsi="Times New Roman" w:cs="Times New Roman" w:eastAsia="Times New Roman"/>
          <w:b w:val="0"/>
          <w:i w:val="0"/>
          <w:sz w:val="28"/>
        </w:rPr>
        <w:t>2.</w:t>
        <w:tab/>
        <w:t>To establish the theoretical foundations of image enhancement (histogram equalisation, dual-constraint CLAHE, spatial filtering), of convolutional neural networks (convolution, pooling, loss functions for imbalanced data, regularisation), of transfer and self-supervised representation learning, and of explainability methods (Grad-CAM, ALO, IoU) (Chapter 2).</w:t>
      </w:r>
    </w:p>
    <w:p>
      <w:pPr>
        <w:ind w:left="709" w:hanging="397"/>
        <w:jc w:val="both"/>
      </w:pPr>
      <w:r>
        <w:rPr>
          <w:rFonts w:ascii="Times New Roman" w:hAnsi="Times New Roman" w:cs="Times New Roman" w:eastAsia="Times New Roman"/>
          <w:b w:val="0"/>
          <w:i w:val="0"/>
          <w:sz w:val="28"/>
        </w:rPr>
        <w:t>3.</w:t>
        <w:tab/>
        <w:t>To design and formalise the integrated preprocessing-CNN methodology — the 8-stage pipeline, the CNN architectures (ResNet-50, EfficientNet-B3), the pretraining strategy, and the multi-metric evaluation framework (Chapter 3).</w:t>
      </w:r>
    </w:p>
    <w:p>
      <w:pPr>
        <w:ind w:left="709" w:hanging="397"/>
        <w:jc w:val="both"/>
      </w:pPr>
      <w:r>
        <w:rPr>
          <w:rFonts w:ascii="Times New Roman" w:hAnsi="Times New Roman" w:cs="Times New Roman" w:eastAsia="Times New Roman"/>
          <w:b w:val="0"/>
          <w:i w:val="0"/>
          <w:sz w:val="28"/>
        </w:rPr>
        <w:t>4.</w:t>
        <w:tab/>
        <w:t>To experimentally validate the integrated pipeline through eight investigations conducted on a common substrate: integrated-pipeline dominance (Experiment 1, H-1); component ablation with the CLAHE and flat-field parameter sweeps (Experiment 2, H-2); direct measurement of source-to-target distance in feature space across six external corpora (H-3); cross-dataset transferability (Experiment 3, H-4); Grad-CAM explainability (Experiment 4, H-5); external clinical performance (Experiment 5, H-7); device domain shift (Experiment 6, H-6); and small-data training (Experiment 7) (Chapter 4).</w:t>
      </w:r>
    </w:p>
    <w:p>
      <w:pPr>
        <w:ind w:left="709" w:hanging="397"/>
        <w:jc w:val="both"/>
      </w:pPr>
      <w:r>
        <w:rPr>
          <w:rFonts w:ascii="Times New Roman" w:hAnsi="Times New Roman" w:cs="Times New Roman" w:eastAsia="Times New Roman"/>
          <w:b w:val="0"/>
          <w:i w:val="0"/>
          <w:sz w:val="28"/>
        </w:rPr>
        <w:t>5.</w:t>
        <w:tab/>
        <w:t>To validate the reliability of the results through statistical analysis and comparative benchmarking, and to state the limitations and boundary conditions of the approach (Chapter 5).</w:t>
      </w:r>
    </w:p>
    <w:p>
      <w:pPr>
        <w:ind w:left="709" w:hanging="397"/>
        <w:jc w:val="both"/>
      </w:pPr>
      <w:r>
        <w:rPr>
          <w:rFonts w:ascii="Times New Roman" w:hAnsi="Times New Roman" w:cs="Times New Roman" w:eastAsia="Times New Roman"/>
          <w:b w:val="0"/>
          <w:i w:val="0"/>
          <w:sz w:val="28"/>
        </w:rPr>
        <w:t>6.</w:t>
        <w:tab/>
        <w:t>To design an architecture for an automated DR screening system suitable for resource-limited environments, with telemedicine and eHealth integration applicable to Kazakhstan healthcare infrastructure (Chapter 6).</w:t>
      </w:r>
    </w:p>
    <w:p>
      <w:pPr>
        <w:keepNext/>
        <w:spacing w:before="240" w:after="120"/>
        <w:jc w:val="left"/>
      </w:pPr>
      <w:r>
        <w:rPr>
          <w:rFonts w:ascii="Times New Roman" w:hAnsi="Times New Roman" w:cs="Times New Roman" w:eastAsia="Times New Roman"/>
          <w:b/>
          <w:i w:val="0"/>
          <w:sz w:val="28"/>
        </w:rPr>
        <w:t>Object of the research</w:t>
      </w:r>
    </w:p>
    <w:p>
      <w:pPr>
        <w:ind w:firstLine="709"/>
        <w:jc w:val="both"/>
      </w:pPr>
      <w:r>
        <w:rPr>
          <w:rFonts w:ascii="Times New Roman" w:hAnsi="Times New Roman" w:cs="Times New Roman" w:eastAsia="Times New Roman"/>
          <w:b w:val="0"/>
          <w:i w:val="0"/>
          <w:sz w:val="28"/>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rPr>
        <w:t>Subject of the research</w:t>
      </w:r>
    </w:p>
    <w:p>
      <w:pPr>
        <w:ind w:firstLine="709"/>
        <w:jc w:val="both"/>
      </w:pPr>
      <w:r>
        <w:rPr>
          <w:rFonts w:ascii="Times New Roman" w:hAnsi="Times New Roman" w:cs="Times New Roman" w:eastAsia="Times New Roman"/>
          <w:b w:val="0"/>
          <w:i w:val="0"/>
          <w:sz w:val="28"/>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rPr>
        <w:t>Methodology and methods of the research</w:t>
      </w:r>
    </w:p>
    <w:p>
      <w:pPr>
        <w:ind w:firstLine="709"/>
        <w:jc w:val="both"/>
      </w:pPr>
      <w:r>
        <w:rPr>
          <w:rFonts w:ascii="Times New Roman" w:hAnsi="Times New Roman" w:cs="Times New Roman" w:eastAsia="Times New Roman"/>
          <w:b w:val="0"/>
          <w:i w:val="0"/>
          <w:sz w:val="28"/>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rPr>
        <w:t>Empirical (experimental) basis</w:t>
      </w:r>
    </w:p>
    <w:p>
      <w:pPr>
        <w:ind w:firstLine="709"/>
        <w:jc w:val="both"/>
      </w:pPr>
      <w:r>
        <w:rPr>
          <w:rFonts w:ascii="Times New Roman" w:hAnsi="Times New Roman" w:cs="Times New Roman" w:eastAsia="Times New Roman"/>
          <w:b w:val="0"/>
          <w:i w:val="0"/>
          <w:sz w:val="28"/>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rPr>
        <w:t>Scientific novelty</w:t>
      </w:r>
    </w:p>
    <w:p>
      <w:pPr>
        <w:ind w:left="709" w:hanging="397"/>
        <w:jc w:val="both"/>
      </w:pPr>
      <w:r>
        <w:rPr>
          <w:rFonts w:ascii="Times New Roman" w:hAnsi="Times New Roman" w:cs="Times New Roman" w:eastAsia="Times New Roman"/>
          <w:b w:val="0"/>
          <w:i w:val="0"/>
          <w:sz w:val="28"/>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rPr>
        <w:t>12.</w:t>
        <w:tab/>
        <w:t>Two contributions are non-empirical by design: the coupled thermal-optical model of fundus tissue response under laser exposure, a theoretical and computational contribution only; and the modular screening-system architecture, a design contribution only — no prototype implemented, no field testing conducted.</w:t>
      </w:r>
    </w:p>
    <w:p>
      <w:pPr>
        <w:keepNext/>
        <w:spacing w:before="240" w:after="120"/>
        <w:jc w:val="left"/>
      </w:pPr>
      <w:r>
        <w:rPr>
          <w:rFonts w:ascii="Times New Roman" w:hAnsi="Times New Roman" w:cs="Times New Roman" w:eastAsia="Times New Roman"/>
          <w:b/>
          <w:i w:val="0"/>
          <w:sz w:val="28"/>
        </w:rPr>
        <w:t>Main results of the research</w:t>
      </w:r>
    </w:p>
    <w:p>
      <w:pPr>
        <w:ind w:left="709" w:hanging="397"/>
        <w:jc w:val="both"/>
      </w:pPr>
      <w:r>
        <w:rPr>
          <w:rFonts w:ascii="Times New Roman" w:hAnsi="Times New Roman" w:cs="Times New Roman" w:eastAsia="Times New Roman"/>
          <w:b w:val="0"/>
          <w:i w:val="0"/>
          <w:sz w:val="28"/>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H-1 supported).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 H-2 supported).</w:t>
      </w:r>
    </w:p>
    <w:p>
      <w:pPr>
        <w:ind w:left="709" w:hanging="397"/>
        <w:jc w:val="both"/>
      </w:pPr>
      <w:r>
        <w:rPr>
          <w:rFonts w:ascii="Times New Roman" w:hAnsi="Times New Roman" w:cs="Times New Roman" w:eastAsia="Times New Roman"/>
          <w:b w:val="0"/>
          <w:i w:val="0"/>
          <w:sz w:val="28"/>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hypotheses approach only through its consequence (H-3 supported, in direction only).</w:t>
      </w:r>
    </w:p>
    <w:p>
      <w:pPr>
        <w:ind w:left="709" w:hanging="397"/>
        <w:jc w:val="both"/>
      </w:pPr>
      <w:r>
        <w:rPr>
          <w:rFonts w:ascii="Times New Roman" w:hAnsi="Times New Roman" w:cs="Times New Roman" w:eastAsia="Times New Roman"/>
          <w:b w:val="0"/>
          <w:i w:val="0"/>
          <w:sz w:val="28"/>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 H-4 supported).</w:t>
      </w:r>
    </w:p>
    <w:p>
      <w:pPr>
        <w:ind w:left="709" w:hanging="397"/>
        <w:jc w:val="both"/>
      </w:pPr>
      <w:r>
        <w:rPr>
          <w:rFonts w:ascii="Times New Roman" w:hAnsi="Times New Roman" w:cs="Times New Roman" w:eastAsia="Times New Roman"/>
          <w:b w:val="0"/>
          <w:i w:val="0"/>
          <w:sz w:val="28"/>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H-5 supported in its quantitative half only).</w:t>
      </w:r>
    </w:p>
    <w:p>
      <w:pPr>
        <w:ind w:left="709" w:hanging="397"/>
        <w:jc w:val="both"/>
      </w:pPr>
      <w:r>
        <w:rPr>
          <w:rFonts w:ascii="Times New Roman" w:hAnsi="Times New Roman" w:cs="Times New Roman" w:eastAsia="Times New Roman"/>
          <w:b w:val="0"/>
          <w:i w:val="0"/>
          <w:sz w:val="28"/>
        </w:rPr>
        <w:t>8.</w:t>
        <w:tab/>
        <w:t>On both external clinical corpora the integrated configuration attained higher absolute weighted F1, each difference reaching the minimal clinically important difference with its interval excluding zero (Experiment 5, H-7 supported as absolute external performance, not as resistance to degradation); performance was maintained across all five camera groupings with their dispersion reduced (Experiment 6, H-6 supported);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rPr>
        <w:t>9.</w:t>
        <w:tab/>
        <w:t>A modular architecture for an automated DR screening system suitable for resource-limited environments, with telemedicine and eHealth integration applicable to Kazakhstan healthcare infrastructure, was designed as a design specification; no prototype was implemented and no field testing was conducted.</w:t>
      </w:r>
    </w:p>
    <w:p>
      <w:pPr>
        <w:keepNext/>
        <w:spacing w:before="240" w:after="120"/>
        <w:jc w:val="left"/>
      </w:pPr>
      <w:r>
        <w:rPr>
          <w:rFonts w:ascii="Times New Roman" w:hAnsi="Times New Roman" w:cs="Times New Roman" w:eastAsia="Times New Roman"/>
          <w:b/>
          <w:i w:val="0"/>
          <w:sz w:val="28"/>
        </w:rPr>
        <w:t>Statements submitted for defense</w:t>
      </w:r>
    </w:p>
    <w:p>
      <w:pPr>
        <w:ind w:firstLine="709"/>
        <w:jc w:val="both"/>
      </w:pPr>
      <w:r>
        <w:rPr>
          <w:rFonts w:ascii="Times New Roman" w:hAnsi="Times New Roman" w:cs="Times New Roman" w:eastAsia="Times New Roman"/>
          <w:b w:val="0"/>
          <w:i w:val="0"/>
          <w:sz w:val="28"/>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(H-1). </w:t>
      </w:r>
      <w:r>
        <w:rPr>
          <w:rFonts w:ascii="Times New Roman" w:hAnsi="Times New Roman" w:cs="Times New Roman" w:eastAsia="Times New Roman"/>
          <w:b w:val="0"/>
          <w:i/>
          <w:sz w:val="28"/>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rPr>
        <w:t>3.</w:t>
        <w:tab/>
        <w:t xml:space="preserve">The dual-constraint CLAHE parameters and the flat-field σ each exhibit an interior optimum within the ranges examined, confirmed on held-out data (H-2). </w:t>
      </w:r>
      <w:r>
        <w:rPr>
          <w:rFonts w:ascii="Times New Roman" w:hAnsi="Times New Roman" w:cs="Times New Roman" w:eastAsia="Times New Roman"/>
          <w:b w:val="0"/>
          <w:i/>
          <w:sz w:val="28"/>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rPr>
        <w:t>4.</w:t>
        <w:tab/>
        <w:t xml:space="preserve">The contributions of the individual pipeline stages are separable, monotone across folds, and orderable with the two photometric stages leading (H-2). </w:t>
      </w:r>
      <w:r>
        <w:rPr>
          <w:rFonts w:ascii="Times New Roman" w:hAnsi="Times New Roman" w:cs="Times New Roman" w:eastAsia="Times New Roman"/>
          <w:b w:val="0"/>
          <w:i/>
          <w:sz w:val="28"/>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rPr>
        <w:t>5.</w:t>
        <w:tab/>
        <w:t xml:space="preserve">The integrated configuration reduces the distance between the training distribution and each external distribution in penultimate-layer feature space, on every external corpus examined, without any target-corpus statistic entering the transform (H-3). </w:t>
      </w:r>
      <w:r>
        <w:rPr>
          <w:rFonts w:ascii="Times New Roman" w:hAnsi="Times New Roman" w:cs="Times New Roman" w:eastAsia="Times New Roman"/>
          <w:b w:val="0"/>
          <w:i/>
          <w:sz w:val="28"/>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rPr>
        <w:t>6.</w:t>
        <w:tab/>
        <w:t xml:space="preserve">A model trained on EyePACS with the pipeline transfers to APTOS 2019 without retraining, clearing the pre-registered generalisation ratio G ≥ 0.85 and exceeding the baseline on every grade (H-4). </w:t>
      </w:r>
      <w:r>
        <w:rPr>
          <w:rFonts w:ascii="Times New Roman" w:hAnsi="Times New Roman" w:cs="Times New Roman" w:eastAsia="Times New Roman"/>
          <w:b w:val="0"/>
          <w:i/>
          <w:sz w:val="28"/>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rPr>
        <w:t>7.</w:t>
        <w:tab/>
        <w:t xml:space="preserve">Model attention aligns more closely with expert pixel-level lesion annotation under the integrated configuration, on all four annotated lesion types, on both the primary and the secondary measure, and robustly across the attention threshold (H-5). </w:t>
      </w:r>
      <w:r>
        <w:rPr>
          <w:rFonts w:ascii="Times New Roman" w:hAnsi="Times New Roman" w:cs="Times New Roman" w:eastAsia="Times New Roman"/>
          <w:b w:val="0"/>
          <w:i/>
          <w:sz w:val="28"/>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rPr>
        <w:t>8.</w:t>
        <w:tab/>
        <w:t xml:space="preserve">Classification performance is maintained across every camera grouping examined and, substantively, the dispersion of performance across those groupings is reduced (H-6). </w:t>
      </w:r>
      <w:r>
        <w:rPr>
          <w:rFonts w:ascii="Times New Roman" w:hAnsi="Times New Roman" w:cs="Times New Roman" w:eastAsia="Times New Roman"/>
          <w:b w:val="0"/>
          <w:i/>
          <w:sz w:val="28"/>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(H-7). </w:t>
      </w:r>
      <w:r>
        <w:rPr>
          <w:rFonts w:ascii="Times New Roman" w:hAnsi="Times New Roman" w:cs="Times New Roman" w:eastAsia="Times New Roman"/>
          <w:b w:val="0"/>
          <w:i/>
          <w:sz w:val="28"/>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rPr>
        <w:t>Analytic and strictly descriptive: it rehabilitates no result of this work.</w:t>
      </w:r>
    </w:p>
    <w:p>
      <w:pPr>
        <w:ind w:left="709" w:hanging="397"/>
        <w:jc w:val="both"/>
      </w:pPr>
      <w:r>
        <w:rPr>
          <w:rFonts w:ascii="Times New Roman" w:hAnsi="Times New Roman" w:cs="Times New Roman" w:eastAsia="Times New Roman"/>
          <w:b w:val="0"/>
          <w:i w:val="0"/>
          <w:sz w:val="28"/>
        </w:rPr>
        <w:t>11.</w:t>
        <w:tab/>
        <w:t xml:space="preserve">A coupled thermal-optical model of fundus tissue response under laser exposure, and a modular architecture for an automated DR screening system in resource-limited environments. </w:t>
      </w:r>
      <w:r>
        <w:rPr>
          <w:rFonts w:ascii="Times New Roman" w:hAnsi="Times New Roman" w:cs="Times New Roman" w:eastAsia="Times New Roman"/>
          <w:b w:val="0"/>
          <w:i/>
          <w:sz w:val="28"/>
        </w:rPr>
        <w:t>Submitted as theoretical and design contributions respectively — the model is not clinically validated, and the architecture was neither prototyped nor field-tested.</w:t>
      </w:r>
    </w:p>
    <w:p>
      <w:pPr>
        <w:ind w:firstLine="709"/>
        <w:jc w:val="both"/>
      </w:pPr>
      <w:r>
        <w:rPr>
          <w:rFonts w:ascii="Times New Roman" w:hAnsi="Times New Roman" w:cs="Times New Roman" w:eastAsia="Times New Roman"/>
          <w:b w:val="0"/>
          <w:i w:val="0"/>
          <w:sz w:val="28"/>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rPr>
        <w:t xml:space="preserve">The following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rPr>
        <w:t>Theoretical significance</w:t>
      </w:r>
    </w:p>
    <w:p>
      <w:pPr>
        <w:ind w:firstLine="709"/>
        <w:jc w:val="both"/>
      </w:pPr>
      <w:r>
        <w:rPr>
          <w:rFonts w:ascii="Times New Roman" w:hAnsi="Times New Roman" w:cs="Times New Roman" w:eastAsia="Times New Roman"/>
          <w:b w:val="0"/>
          <w:i w:val="0"/>
          <w:sz w:val="28"/>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rPr>
        <w:t>Practical significance</w:t>
      </w:r>
    </w:p>
    <w:p>
      <w:pPr>
        <w:ind w:firstLine="709"/>
        <w:jc w:val="both"/>
      </w:pPr>
      <w:r>
        <w:rPr>
          <w:rFonts w:ascii="Times New Roman" w:hAnsi="Times New Roman" w:cs="Times New Roman" w:eastAsia="Times New Roman"/>
          <w:b w:val="0"/>
          <w:i w:val="0"/>
          <w:sz w:val="28"/>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rPr>
        <w:t xml:space="preserve">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It is a design specification: no prototype was implemented, no deployment was tested clinically, and its data-protection provisions are alignment by design rather than certified compliance. The system is conceived as decision support in which the clinician retains the diagnosis and the responsibility for it; nothing here is offered as a standalone diagnostic instrument. </w:t>
      </w:r>
      <w:r>
        <w:rPr>
          <w:rFonts w:ascii="Times New Roman" w:hAnsi="Times New Roman" w:cs="Times New Roman" w:eastAsia="Times New Roman"/>
          <w:b w:val="0"/>
          <w:i/>
          <w:sz w:val="28"/>
        </w:rPr>
        <w:t>(The publication and approbation record is given in Appendix D.)</w:t>
      </w:r>
    </w:p>
    <w:p>
      <w:pPr>
        <w:keepNext/>
        <w:spacing w:before="240" w:after="120"/>
        <w:jc w:val="left"/>
      </w:pPr>
      <w:r>
        <w:rPr>
          <w:rFonts w:ascii="Times New Roman" w:hAnsi="Times New Roman" w:cs="Times New Roman" w:eastAsia="Times New Roman"/>
          <w:b/>
          <w:i w:val="0"/>
          <w:sz w:val="28"/>
        </w:rPr>
        <w:t>Reliability of the results</w:t>
      </w:r>
    </w:p>
    <w:p>
      <w:pPr>
        <w:ind w:firstLine="709"/>
        <w:jc w:val="both"/>
      </w:pPr>
      <w:r>
        <w:rPr>
          <w:rFonts w:ascii="Times New Roman" w:hAnsi="Times New Roman" w:cs="Times New Roman" w:eastAsia="Times New Roman"/>
          <w:b w:val="0"/>
          <w:i w:val="0"/>
          <w:sz w:val="28"/>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rPr>
        <w:t>Approbation of the results and connection with scientific programmes</w:t>
      </w:r>
    </w:p>
    <w:p>
      <w:pPr>
        <w:ind w:firstLine="709"/>
        <w:jc w:val="both"/>
      </w:pPr>
      <w:r>
        <w:rPr>
          <w:rFonts w:ascii="Times New Roman" w:hAnsi="Times New Roman" w:cs="Times New Roman" w:eastAsia="Times New Roman"/>
          <w:b w:val="0"/>
          <w:i w:val="0"/>
          <w:sz w:val="28"/>
        </w:rPr>
        <w:t>The results of the research were reported and discussed at international scientific forums, including the 3rd International Workshop on Digital Society (DS 2025, Istanbul, Türkiye, 28–30 October 2025), and published in international peer-reviewed journals. The documentary record is reproduced in Appendix D.</w:t>
      </w:r>
    </w:p>
    <w:p>
      <w:pPr>
        <w:ind w:firstLine="709"/>
        <w:jc w:val="both"/>
      </w:pPr>
      <w:r>
        <w:rPr>
          <w:rFonts w:ascii="Times New Roman" w:hAnsi="Times New Roman" w:cs="Times New Roman" w:eastAsia="Times New Roman"/>
          <w:b w:val="0"/>
          <w:i w:val="0"/>
          <w:sz w:val="28"/>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rPr>
        <w:t>Publications</w:t>
      </w:r>
    </w:p>
    <w:p>
      <w:pPr>
        <w:ind w:firstLine="709"/>
        <w:jc w:val="both"/>
      </w:pPr>
      <w:r>
        <w:rPr>
          <w:rFonts w:ascii="Times New Roman" w:hAnsi="Times New Roman" w:cs="Times New Roman" w:eastAsia="Times New Roman"/>
          <w:b w:val="0"/>
          <w:i w:val="0"/>
          <w:sz w:val="28"/>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a paper in international conference proceedings indexed by Scopus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rPr>
        <w:t>News of the NAS RK, Physico-Mathematical Series</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Herald of KazUTB</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i w:val="0"/>
          <w:sz w:val="28"/>
        </w:rPr>
        <w:t>Articles in journals indexed by Scopus / Web of Science:</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Papers in international conference proceedings indexed by Scopus:</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rPr>
        <w:t>Articles in journals recommended by the KKSON of the Republic of Kazakhstan:</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Herald of KazUTB. — 2024. — Vol. 2, No. 27-740. https://doi.org/10.58805/kazutb.v.2.27-740</w:t>
      </w:r>
    </w:p>
    <w:p>
      <w:pPr>
        <w:keepNext/>
        <w:spacing w:before="240" w:after="120"/>
        <w:jc w:val="left"/>
      </w:pPr>
      <w:r>
        <w:rPr>
          <w:rFonts w:ascii="Times New Roman" w:hAnsi="Times New Roman" w:cs="Times New Roman" w:eastAsia="Times New Roman"/>
          <w:b/>
          <w:i w:val="0"/>
          <w:sz w:val="28"/>
        </w:rPr>
        <w:t>Main content of the work</w:t>
      </w:r>
    </w:p>
    <w:p>
      <w:pPr>
        <w:ind w:firstLine="709"/>
        <w:jc w:val="both"/>
      </w:pPr>
      <w:r>
        <w:rPr>
          <w:rFonts w:ascii="Times New Roman" w:hAnsi="Times New Roman" w:cs="Times New Roman" w:eastAsia="Times New Roman"/>
          <w:b/>
          <w:i w:val="0"/>
          <w:sz w:val="28"/>
        </w:rPr>
        <w:t>The introduction</w:t>
      </w:r>
      <w:r>
        <w:rPr>
          <w:rFonts w:ascii="Times New Roman" w:hAnsi="Times New Roman" w:cs="Times New Roman" w:eastAsia="Times New Roman"/>
          <w:b w:val="0"/>
          <w:i w:val="0"/>
          <w:sz w:val="28"/>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rPr>
        <w:t>Chapter 1 — "Problem Domain Analysis and Current State of Automated Diabetic Retinopathy Diagnosis"</w:t>
      </w:r>
      <w:r>
        <w:rPr>
          <w:rFonts w:ascii="Times New Roman" w:hAnsi="Times New Roman" w:cs="Times New Roman" w:eastAsia="Times New Roman"/>
          <w:b w:val="0"/>
          <w:i w:val="0"/>
          <w:sz w:val="28"/>
        </w:rPr>
        <w:t xml:space="preserve"> examines the medical and epidemiological context of DR and its clinical grading, the screening requirements of resource-limited settings, the sources of fundus image quality degradation and device-specific variability, deep-learning approaches to retinal image classification (CNN architectures, transfer and self-supervised pretraining, explainability), and provides a critical analysis of existing automated DR screening systems,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rPr>
        <w:t>Chapter 2 — "Theoretical Foundations of Image Preprocessing and Deep Learning for Fundus Image Analysis"</w:t>
      </w:r>
      <w:r>
        <w:rPr>
          <w:rFonts w:ascii="Times New Roman" w:hAnsi="Times New Roman" w:cs="Times New Roman" w:eastAsia="Times New Roman"/>
          <w:b w:val="0"/>
          <w:i w:val="0"/>
          <w:sz w:val="28"/>
        </w:rPr>
        <w:t xml:space="preserve"> establishes the mathematical foundations of image enhancement (histogram equalisation, dual-constraint CLAHE, spatial filtering), the theoretical framework of CNNs (convolution, pooling, loss functions for imbalanced data, regularisation), transfer and in-domain self-supervised representation learning, the mathematical modelling of laser-tissue interaction in retinal therapy, explainability (CAM, Grad-CAM, ALO, IoU), and image quality metrics for preprocessing evaluation.</w:t>
      </w:r>
    </w:p>
    <w:p>
      <w:pPr>
        <w:ind w:firstLine="709"/>
        <w:jc w:val="both"/>
      </w:pPr>
      <w:r>
        <w:rPr>
          <w:rFonts w:ascii="Times New Roman" w:hAnsi="Times New Roman" w:cs="Times New Roman" w:eastAsia="Times New Roman"/>
          <w:b/>
          <w:i w:val="0"/>
          <w:sz w:val="28"/>
        </w:rPr>
        <w:t>Chapter 3 — "Methodology of Integrated Preprocessing-CNN Pipeline Design"</w:t>
      </w:r>
      <w:r>
        <w:rPr>
          <w:rFonts w:ascii="Times New Roman" w:hAnsi="Times New Roman" w:cs="Times New Roman" w:eastAsia="Times New Roman"/>
          <w:b w:val="0"/>
          <w:i w:val="0"/>
          <w:sz w:val="28"/>
        </w:rPr>
        <w:t xml:space="preserve"> formalises the unified 8-stage preprocessing pipeline and the modified dual-constraint CLAHE algorithm, the augmentation strategy, and the external image ingestion protocol; specifies the CNN architectures (ResNet-50 and EfficientNet-B3); details the transfer-learning and ophthalmology-specific self-supervised pretraining methodology, the architecture adaptation for five-class classification, and the weighted (Focal) loss formulation; and defines the multi-metric evaluation and statistical reliability framework.</w:t>
      </w:r>
    </w:p>
    <w:p>
      <w:pPr>
        <w:ind w:firstLine="709"/>
        <w:jc w:val="both"/>
      </w:pPr>
      <w:r>
        <w:rPr>
          <w:rFonts w:ascii="Times New Roman" w:hAnsi="Times New Roman" w:cs="Times New Roman" w:eastAsia="Times New Roman"/>
          <w:b/>
          <w:i w:val="0"/>
          <w:sz w:val="28"/>
        </w:rPr>
        <w:t>Chapter 4 — "Experimental Research — Preprocessing Impact on CNN Diagnostic Performance"</w:t>
      </w:r>
      <w:r>
        <w:rPr>
          <w:rFonts w:ascii="Times New Roman" w:hAnsi="Times New Roman" w:cs="Times New Roman" w:eastAsia="Times New Roman"/>
          <w:b w:val="0"/>
          <w:i w:val="0"/>
          <w:sz w:val="28"/>
        </w:rPr>
        <w:t xml:space="preserve"> presents the tiered dataset architecture and eight investigations: Experiment 1 (integrated-pipeline dominance via a restored 2×2 factorial, configs A–D), Experiment 2 (cumulative stage ablation, CLAHE threshold and flat-field σ sweeps with image-quality metrics), the direct measurement of source-to-target domain distance across six external corpora (H-3), Experiment 3 (zero-shot cross-dataset transfer to APTOS 2019), Experiment 4 (Grad-CAM explainability with quantitative ALO/IoU on IDRiD), Experiment 5 (external clinical performance on IDRiD and Messidor-2), Experiment 6 (device domain shift on DDR, ODIR-5K, RFMiD), and Experiment 7 (small-data training on IDRiD with the Clinical dataset held out).</w:t>
      </w:r>
    </w:p>
    <w:p>
      <w:pPr>
        <w:ind w:firstLine="709"/>
        <w:jc w:val="both"/>
      </w:pPr>
      <w:r>
        <w:rPr>
          <w:rFonts w:ascii="Times New Roman" w:hAnsi="Times New Roman" w:cs="Times New Roman" w:eastAsia="Times New Roman"/>
          <w:b/>
          <w:i w:val="0"/>
          <w:sz w:val="28"/>
        </w:rPr>
        <w:t>Chapter 5 — "Reliability Validation and Comparative Analysis"</w:t>
      </w:r>
      <w:r>
        <w:rPr>
          <w:rFonts w:ascii="Times New Roman" w:hAnsi="Times New Roman" w:cs="Times New Roman" w:eastAsia="Times New Roman"/>
          <w:b w:val="0"/>
          <w:i w:val="0"/>
          <w:sz w:val="28"/>
        </w:rPr>
        <w:t xml:space="preserve"> consolidates the explainability results, the statistical validation (bootstrap confidence intervals and mixed-effects modelling, final claim-strength classifications), the placement of the work against published systems without ranking it among them, and the performance–complexity trade-off, and states the limitations and boundary conditions of the proposed approach.</w:t>
      </w:r>
    </w:p>
    <w:p>
      <w:pPr>
        <w:ind w:firstLine="709"/>
        <w:jc w:val="both"/>
      </w:pPr>
      <w:r>
        <w:rPr>
          <w:rFonts w:ascii="Times New Roman" w:hAnsi="Times New Roman" w:cs="Times New Roman" w:eastAsia="Times New Roman"/>
          <w:b/>
          <w:i w:val="0"/>
          <w:sz w:val="28"/>
        </w:rPr>
        <w:t>Chapter 6 — "Architecture of an Automated DR Screening System for Resource-Limited Environments"</w:t>
      </w:r>
      <w:r>
        <w:rPr>
          <w:rFonts w:ascii="Times New Roman" w:hAnsi="Times New Roman" w:cs="Times New Roman" w:eastAsia="Times New Roman"/>
          <w:b w:val="0"/>
          <w:i w:val="0"/>
          <w:sz w:val="28"/>
        </w:rPr>
        <w:t xml:space="preserve"> specifies the functional and non-functional requirements, the modular architecture with PACS and EHR integration, the AI processing module (configurable preprocessing engine and inference module), clinical workflow integration (telemedicine, portable-device and national eHealth-platform support, physician-in-the-loop decision support), and the data security and regulatory-compliance framework (GDPR/HIPAA-aligned), with its applicability to Kazakhstan healthcare infrastructure.</w:t>
      </w:r>
    </w:p>
    <w:p>
      <w:pPr>
        <w:keepNext/>
        <w:spacing w:before="240" w:after="120"/>
        <w:jc w:val="left"/>
      </w:pPr>
      <w:r>
        <w:rPr>
          <w:rFonts w:ascii="Times New Roman" w:hAnsi="Times New Roman" w:cs="Times New Roman" w:eastAsia="Times New Roman"/>
          <w:b/>
          <w:i w:val="0"/>
          <w:sz w:val="28"/>
        </w:rPr>
        <w:t>Author's personal contribution</w:t>
      </w:r>
    </w:p>
    <w:p>
      <w:pPr>
        <w:ind w:firstLine="709"/>
        <w:jc w:val="both"/>
      </w:pPr>
      <w:r>
        <w:rPr>
          <w:rFonts w:ascii="Times New Roman" w:hAnsi="Times New Roman" w:cs="Times New Roman" w:eastAsia="Times New Roman"/>
          <w:b w:val="0"/>
          <w:i w:val="0"/>
          <w:sz w:val="28"/>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rPr>
        <w:t>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 (A–F): the source code of the preprocessing pipeline, supplementary experimental results and confusion matrices, the system-architecture diagrams, the publication and approbation record, the attention-map gallery, and supplementary tables for the device-domain evaluation.</w:t>
      </w:r>
    </w:p>
    <w:p>
      <w:pPr>
        <w:ind w:firstLine="709"/>
        <w:jc w:val="both"/>
      </w:pPr>
      <w:r>
        <w:rPr>
          <w:rFonts w:ascii="Times New Roman" w:hAnsi="Times New Roman" w:cs="Times New Roman" w:eastAsia="Times New Roman"/>
          <w:b w:val="0"/>
          <w:i w:val="0"/>
          <w:sz w:val="28"/>
        </w:rPr>
        <w:t>The dissertation is set out on 264 pages, and contains 42 tables, 26 figures and two diagrams. The list of references comprises 107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