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АҢДАТПА</w:t>
      </w:r>
    </w:p>
    <w:p>
      <w:pPr>
        <w:ind w:firstLine="709"/>
        <w:jc w:val="both"/>
      </w:pPr>
      <w:r>
        <w:rPr>
          <w:rFonts w:ascii="Times New Roman" w:hAnsi="Times New Roman" w:cs="Times New Roman" w:eastAsia="Times New Roman"/>
          <w:b/>
          <w:i w:val="0"/>
          <w:sz w:val="28"/>
        </w:rPr>
        <w:t>Есмухамедов Нұрмағанбет Сейтқалиұлының «Көз түбі кескіндерін жақсарту және CNN арқылы жіктеу негізінде диабеттік ретинопатияны автоматтандырылған диагностикалау» тақырыбындағы, философия докторы (PhD) дәрежесін алуға ұсынылған диссертациялық жұмысына, 8D06104 — Есептеу техникасы және бағдарламалық жасақтама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rPr>
        <w:t>Зерттеудің жалпы сипаттамасы</w:t>
      </w:r>
    </w:p>
    <w:p>
      <w:pPr>
        <w:ind w:firstLine="709"/>
        <w:jc w:val="both"/>
      </w:pPr>
      <w:r>
        <w:rPr>
          <w:rFonts w:ascii="Times New Roman" w:hAnsi="Times New Roman" w:cs="Times New Roman" w:eastAsia="Times New Roman"/>
          <w:b w:val="0"/>
          <w:i w:val="0"/>
          <w:sz w:val="28"/>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rPr>
        <w:t>Зерттеудің өзектілігі</w:t>
      </w:r>
    </w:p>
    <w:p>
      <w:pPr>
        <w:ind w:firstLine="709"/>
        <w:jc w:val="both"/>
      </w:pPr>
      <w:r>
        <w:rPr>
          <w:rFonts w:ascii="Times New Roman" w:hAnsi="Times New Roman" w:cs="Times New Roman" w:eastAsia="Times New Roman"/>
          <w:b w:val="0"/>
          <w:i w:val="0"/>
          <w:sz w:val="28"/>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rPr>
        <w:t xml:space="preserve">ДР-ні автоматтандырылған диагностикалаудағы үстем дәстүр — мұнда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rPr>
        <w:t xml:space="preserve">Жұмыста баламалы парадигма —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біріктірілген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rPr>
        <w:t>Зерттеудің мақсаты</w:t>
      </w:r>
    </w:p>
    <w:p>
      <w:pPr>
        <w:ind w:firstLine="709"/>
        <w:jc w:val="both"/>
      </w:pPr>
      <w:r>
        <w:rPr>
          <w:rFonts w:ascii="Times New Roman" w:hAnsi="Times New Roman" w:cs="Times New Roman" w:eastAsia="Times New Roman"/>
          <w:b w:val="0"/>
          <w:i w:val="0"/>
          <w:sz w:val="28"/>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деректерді дайындау емес, модельдің ажырамас компоненті ретінде спецификацияланады, әрі осы конвейерсіз оқытылған баламалы конфигурациямен бақыланатын салыстыру арқылы аталған спецификацияның есептеу ресурстары шектеулі жағдайда бес класты диагностика сапасына, тасымалдануға және алынатын модельдің түсіндірілуіне қандай айырма беретінін анықтау.</w:t>
      </w:r>
    </w:p>
    <w:p>
      <w:pPr>
        <w:keepNext/>
        <w:spacing w:before="240" w:after="120"/>
        <w:jc w:val="left"/>
      </w:pPr>
      <w:r>
        <w:rPr>
          <w:rFonts w:ascii="Times New Roman" w:hAnsi="Times New Roman" w:cs="Times New Roman" w:eastAsia="Times New Roman"/>
          <w:b/>
          <w:i w:val="0"/>
          <w:sz w:val="28"/>
        </w:rPr>
        <w:t>Зерттеудің міндеттері</w:t>
      </w:r>
    </w:p>
    <w:p>
      <w:pPr>
        <w:ind w:left="709" w:hanging="397"/>
        <w:jc w:val="both"/>
      </w:pPr>
      <w:r>
        <w:rPr>
          <w:rFonts w:ascii="Times New Roman" w:hAnsi="Times New Roman" w:cs="Times New Roman" w:eastAsia="Times New Roman"/>
          <w:b w:val="0"/>
          <w:i w:val="0"/>
          <w:sz w:val="28"/>
        </w:rPr>
        <w:t>1.</w:t>
        <w:tab/>
        <w:t>ДР-ні автоматтандырылған диагностикалаудың медициналық, эпидемиологиялық және техникалық контексін, көз түбі кескіндерінің сапасындағы вариабельділік көздерін және CNN-ге негізделген скрининг жүйелерінің қазіргі жай-күйін талдау, әрі ғылыми проблеманы тұжырымдау (1-тарау).</w:t>
      </w:r>
    </w:p>
    <w:p>
      <w:pPr>
        <w:ind w:left="709" w:hanging="397"/>
        <w:jc w:val="both"/>
      </w:pPr>
      <w:r>
        <w:rPr>
          <w:rFonts w:ascii="Times New Roman" w:hAnsi="Times New Roman" w:cs="Times New Roman" w:eastAsia="Times New Roman"/>
          <w:b w:val="0"/>
          <w:i w:val="0"/>
          <w:sz w:val="28"/>
        </w:rPr>
        <w:t>2.</w:t>
        <w:tab/>
        <w:t>Кескінді жақсарту (гистограмма эквализациясы, қос шектеулі CLAHE, кеңістіктік сүзгілеу), конволюциялық нейрондық желілер (convolution, pooling, теңгерімсіз деректерге арналған loss function, regularization), білімді тасымалдау (transfer learning) және өзін-өзі бақылайтын (self-supervised) репрезентация, сондай-ақ түсіндірілу (Grad-CAM, ALO, IoU) әдістерінің теориялық негіздерін айқындау (2-тарау).</w:t>
      </w:r>
    </w:p>
    <w:p>
      <w:pPr>
        <w:ind w:left="709" w:hanging="397"/>
        <w:jc w:val="both"/>
      </w:pPr>
      <w:r>
        <w:rPr>
          <w:rFonts w:ascii="Times New Roman" w:hAnsi="Times New Roman" w:cs="Times New Roman" w:eastAsia="Times New Roman"/>
          <w:b w:val="0"/>
          <w:i w:val="0"/>
          <w:sz w:val="28"/>
        </w:rPr>
        <w:t>3.</w:t>
        <w:tab/>
        <w:t>Біріктірілген «алдын ала өңдеу–CNN» әдіснамасын — 8 кезеңді конвейерін, CNN архитектураларын (ResNet-50, EfficientNet-B3), алдын ала оқыту стратегиясын және көп метрикалы бағалау жүйесін — әзірлеу және формализациялау (3-тарау).</w:t>
      </w:r>
    </w:p>
    <w:p>
      <w:pPr>
        <w:ind w:left="709" w:hanging="397"/>
        <w:jc w:val="both"/>
      </w:pPr>
      <w:r>
        <w:rPr>
          <w:rFonts w:ascii="Times New Roman" w:hAnsi="Times New Roman" w:cs="Times New Roman" w:eastAsia="Times New Roman"/>
          <w:b w:val="0"/>
          <w:i w:val="0"/>
          <w:sz w:val="28"/>
        </w:rPr>
        <w:t>4.</w:t>
        <w:tab/>
        <w:t>Біріктірілген конвейерді ортақ негізде орындалған сегіз зерттеу арқылы эксперименттік негіздеу: біріктірілген конвейер басымдығы (1-эксперимент, H-1); компоненттік абляция мен CLAHE және flat-field параметрлерінің свиптері (2-эксперимент, H-2); алты сыртқы корпуста белгілер кеңістігіндегі «көз–нысана» қашықтығын тікелей өлшеу (H-3); деректер жиынтықтары арасындағы тасымалдану (3-эксперимент, H-4); Grad-CAM түсіндірілуі (4-эксперимент, H-5); сыртқы клиникалық сапа (5-эксперимент, H-7); аспаптар бойынша домендік ығысу (6-эксперимент, H-6) және шағын деректерде оқыту (7-эксперимент) (4-тарау).</w:t>
      </w:r>
    </w:p>
    <w:p>
      <w:pPr>
        <w:ind w:left="709" w:hanging="397"/>
        <w:jc w:val="both"/>
      </w:pPr>
      <w:r>
        <w:rPr>
          <w:rFonts w:ascii="Times New Roman" w:hAnsi="Times New Roman" w:cs="Times New Roman" w:eastAsia="Times New Roman"/>
          <w:b w:val="0"/>
          <w:i w:val="0"/>
          <w:sz w:val="28"/>
        </w:rPr>
        <w:t>5.</w:t>
        <w:tab/>
        <w:t>Нәтижелердің сенімділігін статистикалық талдау мен салыстырмалы бенчмаркинг арқылы негіздеу, әрі тәсілдің шектеулері мен шекаралық шарттарын тұжырымдау (5-тарау).</w:t>
      </w:r>
    </w:p>
    <w:p>
      <w:pPr>
        <w:ind w:left="709" w:hanging="397"/>
        <w:jc w:val="both"/>
      </w:pPr>
      <w:r>
        <w:rPr>
          <w:rFonts w:ascii="Times New Roman" w:hAnsi="Times New Roman" w:cs="Times New Roman" w:eastAsia="Times New Roman"/>
          <w:b w:val="0"/>
          <w:i w:val="0"/>
          <w:sz w:val="28"/>
        </w:rPr>
        <w:t>6.</w:t>
        <w:tab/>
        <w:t>Ресурсы шектеулі орталарға арналған, телемедицина мен электрондық денсаулық сақтаумен интеграцияланатын және Қазақстанның денсаулық сақтау инфрақұрылымына қолданылатын ДР скринингінің автоматтандырылған жүйесінің архитектурасын жобалау (6-тарау).</w:t>
      </w:r>
    </w:p>
    <w:p>
      <w:pPr>
        <w:keepNext/>
        <w:spacing w:before="240" w:after="120"/>
        <w:jc w:val="left"/>
      </w:pPr>
      <w:r>
        <w:rPr>
          <w:rFonts w:ascii="Times New Roman" w:hAnsi="Times New Roman" w:cs="Times New Roman" w:eastAsia="Times New Roman"/>
          <w:b/>
          <w:i w:val="0"/>
          <w:sz w:val="28"/>
        </w:rPr>
        <w:t>Зерттеу объектісі</w:t>
      </w:r>
    </w:p>
    <w:p>
      <w:pPr>
        <w:ind w:firstLine="709"/>
        <w:jc w:val="both"/>
      </w:pPr>
      <w:r>
        <w:rPr>
          <w:rFonts w:ascii="Times New Roman" w:hAnsi="Times New Roman" w:cs="Times New Roman" w:eastAsia="Times New Roman"/>
          <w:b w:val="0"/>
          <w:i w:val="0"/>
          <w:sz w:val="28"/>
        </w:rPr>
        <w:t>Конволюциялық нейрондық желілерді пайдалана отырып, түрлі-түсті көз түбі кескіндері бойынша диабеттік ретинопатияны автоматтандырылған көп сатылы диагностикалау үдерісі. Үдеріс тек жіктеу қадамында ғана емес, тұтастай — кескін камерадан шыққан күйінен бастап модель тағайындайтын бес класты дәрежеге дейін — зерттеледі.</w:t>
      </w:r>
    </w:p>
    <w:p>
      <w:pPr>
        <w:keepNext/>
        <w:spacing w:before="240" w:after="120"/>
        <w:jc w:val="left"/>
      </w:pPr>
      <w:r>
        <w:rPr>
          <w:rFonts w:ascii="Times New Roman" w:hAnsi="Times New Roman" w:cs="Times New Roman" w:eastAsia="Times New Roman"/>
          <w:b/>
          <w:i w:val="0"/>
          <w:sz w:val="28"/>
        </w:rPr>
        <w:t>Зерттеу пәні</w:t>
      </w:r>
    </w:p>
    <w:p>
      <w:pPr>
        <w:ind w:firstLine="709"/>
        <w:jc w:val="both"/>
      </w:pPr>
      <w:r>
        <w:rPr>
          <w:rFonts w:ascii="Times New Roman" w:hAnsi="Times New Roman" w:cs="Times New Roman" w:eastAsia="Times New Roman"/>
          <w:b w:val="0"/>
          <w:i w:val="0"/>
          <w:sz w:val="28"/>
        </w:rPr>
        <w:t>Көз түбі кескіндерін алдын ала өңдеуді (жақсартуды) CNN негізіндегі жіктеумен біріктіру әдістері мен модельдері, сондай-ақ алынатын біріктірілген конфигурация көрсететін қасиеттер: бес класты дәрежелеудегі диагностикалық сапасы, оқыту кезінде көрілмеген корпустарға тасымалдануы, модель назарының патологияның сараптамалық белгіленуімен үйлесімі және камера домендері ауысқандағы мінез-құлқы. Манипуляцияланатын нәрсе — дәл интеграция, өзі қоректендіретін желіден бөлек алынған алдын ала өңдеу емес.</w:t>
      </w:r>
    </w:p>
    <w:p>
      <w:pPr>
        <w:keepNext/>
        <w:spacing w:before="240" w:after="120"/>
        <w:jc w:val="left"/>
      </w:pPr>
      <w:r>
        <w:rPr>
          <w:rFonts w:ascii="Times New Roman" w:hAnsi="Times New Roman" w:cs="Times New Roman" w:eastAsia="Times New Roman"/>
          <w:b/>
          <w:i w:val="0"/>
          <w:sz w:val="28"/>
        </w:rPr>
        <w:t>Зерттеудің әдіснамасы мен әдістері</w:t>
      </w:r>
    </w:p>
    <w:p>
      <w:pPr>
        <w:ind w:firstLine="709"/>
        <w:jc w:val="both"/>
      </w:pPr>
      <w:r>
        <w:rPr>
          <w:rFonts w:ascii="Times New Roman" w:hAnsi="Times New Roman" w:cs="Times New Roman" w:eastAsia="Times New Roman"/>
          <w:b w:val="0"/>
          <w:i w:val="0"/>
          <w:sz w:val="28"/>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айналуды нормалау үшін көру нервінің дискісі мен фовеаны алдын ала оқытылған, мұздатылған жылу карталарын регрессиялау детекторымен локализациялау — детектор жіктеуішпен бірге оқытылмайды, сондықтан алдын ала өңдеу бекітілген түрлендіру күйінде қалады; көз түбі шеңберінің геометриясын бекітілген пропорцияға дейін бұрмалаудың орнына сақтайтын изотроптық масштабтау мен центрленген нөлмен толтыру; тек FOV маскасының ішінде қолданылатын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біріктірілген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rPr>
        <w:t>Эмпирикалық (эксперименттік) база</w:t>
      </w:r>
    </w:p>
    <w:p>
      <w:pPr>
        <w:ind w:firstLine="709"/>
        <w:jc w:val="both"/>
      </w:pPr>
      <w:r>
        <w:rPr>
          <w:rFonts w:ascii="Times New Roman" w:hAnsi="Times New Roman" w:cs="Times New Roman" w:eastAsia="Times New Roman"/>
          <w:b w:val="0"/>
          <w:i w:val="0"/>
          <w:sz w:val="28"/>
        </w:rPr>
        <w:t>Функционалдық деңгейлерге ұйымдастырылған сегіз деректер жиынтығы: EyePACS (~35 126 белгіленген кескін, негізгі оқыту мен абляция, Canon CR-1), оның екінші, белгіленбеген тілімі (~53 576 кескін) біріктірілген тармақтың домен ішілік алдын ала оқыту корпусын құрайды әрі бағалау корпусымен кескіндері бойынша да, пациенттері бойынша да қиылыспайды;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дәрежелер бойынша теңгерілген, деректер тапшы режимде оқыту), ол жеке медициналық орталықтардан алынған және қайта таратуға жатпайды, сондықтан оған тәуелді нәтижелер сырттай қайталанбайды. Көп ауруға арналған таксономияларда белгіленген аспаптық корпустар тек ДР белгілерінің көзі ретінде пайдаланылады. Кескін сапасы контраст/шу қатынасы (CNR), кескін энтропиясы және SSIM метрикаларымен бағаланады; әртүрлі корпуста алынған нәтижелер бөлек келтіріледі және ешқашан жалғыз көрсеткішке жинақталмайды.</w:t>
      </w:r>
    </w:p>
    <w:p>
      <w:pPr>
        <w:keepNext/>
        <w:spacing w:before="240" w:after="120"/>
        <w:jc w:val="left"/>
      </w:pPr>
      <w:r>
        <w:rPr>
          <w:rFonts w:ascii="Times New Roman" w:hAnsi="Times New Roman" w:cs="Times New Roman" w:eastAsia="Times New Roman"/>
          <w:b/>
          <w:i w:val="0"/>
          <w:sz w:val="28"/>
        </w:rPr>
        <w:t>Ғылыми жаңалығы</w:t>
      </w:r>
    </w:p>
    <w:p>
      <w:pPr>
        <w:ind w:left="709" w:hanging="397"/>
        <w:jc w:val="both"/>
      </w:pPr>
      <w:r>
        <w:rPr>
          <w:rFonts w:ascii="Times New Roman" w:hAnsi="Times New Roman" w:cs="Times New Roman" w:eastAsia="Times New Roman"/>
          <w:b w:val="0"/>
          <w:i w:val="0"/>
          <w:sz w:val="28"/>
        </w:rPr>
        <w:t>1.</w:t>
        <w:tab/>
        <w:t>Көз түбін алдын ала өңдеудің 8 кезеңді біріктірілген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rPr>
        <w:t>2.</w:t>
        <w:tab/>
        <w:t>Біріктірілген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rPr>
        <w:t>3.</w:t>
        <w:tab/>
        <w:t>Бірыңғай инициализация кезіндегі кумулятивті абляция алдын ала өңдеудің үлесін факторлық жоспар оны сөзсіз шатастыратын инициализациядан ажыратады; бұл ажырату факторлық жоспарды бір факторлы манипуляцияға айналдырмайды және оған сүйеніп алдын ала өңдеудің оқшауланған әсері туралы тұжырым жасалмайды.</w:t>
      </w:r>
    </w:p>
    <w:p>
      <w:pPr>
        <w:ind w:left="709" w:hanging="397"/>
        <w:jc w:val="both"/>
      </w:pPr>
      <w:r>
        <w:rPr>
          <w:rFonts w:ascii="Times New Roman" w:hAnsi="Times New Roman" w:cs="Times New Roman" w:eastAsia="Times New Roman"/>
          <w:b w:val="0"/>
          <w:i w:val="0"/>
          <w:sz w:val="28"/>
        </w:rPr>
        <w:t>4.</w:t>
        <w:tab/>
        <w:t>Қос шектеулі стохастикалық CLAHE нұсқасы бес класты ДР контексінде формализацияланып, валидацияланды (LAB L-арнасы; CL = min(clip_factor × tile_area / 256, global_threshold × tile_area) шегі; оқыту кезінде 80% қолдану ықтималдығы), соның арқасында кезең бір мезгілде жақсарту операторы әрі регуляризация көзі қызметін атқарады. Тұжырымдама ізденушінің бұрын жарияланған жұмыстарын дамытады, мұнда тұңғыш пайда болмайды; жаңасы — оның формализациялануы, спецификацияланған конвейерге ендірілуі және бес класты дәрежелеу міндетінде валидациялануы.</w:t>
      </w:r>
    </w:p>
    <w:p>
      <w:pPr>
        <w:ind w:left="709" w:hanging="397"/>
        <w:jc w:val="both"/>
      </w:pPr>
      <w:r>
        <w:rPr>
          <w:rFonts w:ascii="Times New Roman" w:hAnsi="Times New Roman" w:cs="Times New Roman" w:eastAsia="Times New Roman"/>
          <w:b w:val="0"/>
          <w:i w:val="0"/>
          <w:sz w:val="28"/>
        </w:rPr>
        <w:t>5.</w:t>
        <w:tab/>
        <w:t>Гаусс σ-сы тұрақты жаһандық мән орнына нақты кескіннің FOV диаметрі бойынша масштабталатын және толтыру бүлінбеуі үшін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rPr>
        <w:t>6.</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rPr>
        <w:t>7.</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енгізілді; оны Intersection-over-Union (IoU) екінші метрика ретінде толықтырады, IDRiD пиксел деңгейіндегі ошақ маскаларымен салыстырылады. Ол модель дәлелінің сараптамалық белгілеумен үйлесімін орнатады, патологияны клиникалық локализациялауды емес.</w:t>
      </w:r>
    </w:p>
    <w:p>
      <w:pPr>
        <w:ind w:left="709" w:hanging="397"/>
        <w:jc w:val="both"/>
      </w:pPr>
      <w:r>
        <w:rPr>
          <w:rFonts w:ascii="Times New Roman" w:hAnsi="Times New Roman" w:cs="Times New Roman" w:eastAsia="Times New Roman"/>
          <w:b w:val="0"/>
          <w:i w:val="0"/>
          <w:sz w:val="28"/>
        </w:rPr>
        <w:t>8.</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rPr>
        <w:t>9.</w:t>
        <w:tab/>
        <w:t>Біріктірілген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rPr>
        <w:t>10.</w:t>
        <w:tab/>
        <w:t>Біріктірілген конвейер деңгейлік көп деректер жиынтықты әрі көп аспапты архитектурада (EyePACS, APTOS 2019, IDRiD, Messidor-2, DDR, ODIR-5K, RFMiD және қазақстандық клиникалық жиынтық) валидацияланды; ол функциялар бойынша ұйымдастырылған және төрт өндірушінің камераларын (Canon, Topcon, Kowa, Zeiss) қамтиды, оның ішінде жиынаралық тасымалдау, сыртқы клиникалық сапа және аспаптық домендік ығысу.</w:t>
      </w:r>
    </w:p>
    <w:p>
      <w:pPr>
        <w:ind w:left="709" w:hanging="397"/>
        <w:jc w:val="both"/>
      </w:pPr>
      <w:r>
        <w:rPr>
          <w:rFonts w:ascii="Times New Roman" w:hAnsi="Times New Roman" w:cs="Times New Roman" w:eastAsia="Times New Roman"/>
          <w:b w:val="0"/>
          <w:i w:val="0"/>
          <w:sz w:val="28"/>
        </w:rPr>
        <w:t>11.</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ind w:left="709" w:hanging="397"/>
        <w:jc w:val="both"/>
      </w:pPr>
      <w:r>
        <w:rPr>
          <w:rFonts w:ascii="Times New Roman" w:hAnsi="Times New Roman" w:cs="Times New Roman" w:eastAsia="Times New Roman"/>
          <w:b w:val="0"/>
          <w:i w:val="0"/>
          <w:sz w:val="28"/>
        </w:rPr>
        <w:t>12.</w:t>
        <w:tab/>
        <w:t>Екі үлес ниет бойынша эмпирикалық емес: лазерлік әсер кезіндегі көз түбі тіндері жауабының байланысқан термооптикалық моделі — тек теориялық және есептеу үлесі; скрининг жүйесінің модульдік архитектурасы — тек жобалық үлес: прототип іске асырылмаған, далалық сынақтар жүргізілмеген.</w:t>
      </w:r>
    </w:p>
    <w:p>
      <w:pPr>
        <w:keepNext/>
        <w:spacing w:before="240" w:after="120"/>
        <w:jc w:val="left"/>
      </w:pPr>
      <w:r>
        <w:rPr>
          <w:rFonts w:ascii="Times New Roman" w:hAnsi="Times New Roman" w:cs="Times New Roman" w:eastAsia="Times New Roman"/>
          <w:b/>
          <w:i w:val="0"/>
          <w:sz w:val="28"/>
        </w:rPr>
        <w:t>Зерттеудің негізгі нәтижелері</w:t>
      </w:r>
    </w:p>
    <w:p>
      <w:pPr>
        <w:ind w:left="709" w:hanging="397"/>
        <w:jc w:val="both"/>
      </w:pPr>
      <w:r>
        <w:rPr>
          <w:rFonts w:ascii="Times New Roman" w:hAnsi="Times New Roman" w:cs="Times New Roman" w:eastAsia="Times New Roman"/>
          <w:b w:val="0"/>
          <w:i w:val="0"/>
          <w:sz w:val="28"/>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rPr>
        <w:t>2.</w:t>
        <w:tab/>
        <w:t>Көз түбін алдын ала өңдеудің 8 кезеңді біріктірілген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rPr>
        <w:t>3.</w:t>
        <w:tab/>
        <w:t>Біріктірілген конфигурацияның базалық конфигурациядан басымдығы EyePACS-те бақыланатын 2×2 факторлық жоспар (A–D конфигурациялары) аясында екі архитектура үшін де анықталды: критерий оның үш компонентінің барлығы бойынша қанағаттандырылды, әсер көп салыстыруға түзетуден кейін де сақталды және архитектура таңдауымен өзара әрекеттеспеді (1-эксперимент, H-1 расталды). Бұл — базалық конфигурациядан алдын ала өңдеуімен қоса инициализациясымен де ерекшеленетін конфигурацияның қасиеті.</w:t>
      </w:r>
    </w:p>
    <w:p>
      <w:pPr>
        <w:ind w:left="709" w:hanging="397"/>
        <w:jc w:val="both"/>
      </w:pPr>
      <w:r>
        <w:rPr>
          <w:rFonts w:ascii="Times New Roman" w:hAnsi="Times New Roman" w:cs="Times New Roman" w:eastAsia="Times New Roman"/>
          <w:b w:val="0"/>
          <w:i w:val="0"/>
          <w:sz w:val="28"/>
        </w:rPr>
        <w:t>4.</w:t>
        <w:tab/>
        <w:t>Конвейердің жекелеген кезеңдерінің үлесі бірыңғай инициализация кезіндегі кумулятивтік компоненттік абляция арқылы сандық бағаланды: әрбір ауысу өз деңгейінің фолдаралық шашырауынан асатын үлес берді, үлестер екі фотометриялық кезең алда тұратын топтарға бөлінеді, ал абляцияның өзі домен ішілік ұтыстың бүкілін қайта жаңғыртты. CLAHE шегі мен flat-field-түзетудің σ параметрі қаралған диапазондар шегінде ішкі оптимум көрсетті; ол бөлек қалдырылған деректерде расталып, кескін сапасы метрикаларымен (CNR, энтропия, SSIM) бекемделді (2-эксперимент, H-2 расталды).</w:t>
      </w:r>
    </w:p>
    <w:p>
      <w:pPr>
        <w:ind w:left="709" w:hanging="397"/>
        <w:jc w:val="both"/>
      </w:pPr>
      <w:r>
        <w:rPr>
          <w:rFonts w:ascii="Times New Roman" w:hAnsi="Times New Roman" w:cs="Times New Roman" w:eastAsia="Times New Roman"/>
          <w:b w:val="0"/>
          <w:i w:val="0"/>
          <w:sz w:val="28"/>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қашықтық қаралған әрбір корпуста қысқарды, бұл қалған гипотезалар тек салдары арқылы жететін себеп тізбегінің орта буынын береді (H-3 тек бағыты бойынша расталды).</w:t>
      </w:r>
    </w:p>
    <w:p>
      <w:pPr>
        <w:ind w:left="709" w:hanging="397"/>
        <w:jc w:val="both"/>
      </w:pPr>
      <w:r>
        <w:rPr>
          <w:rFonts w:ascii="Times New Roman" w:hAnsi="Times New Roman" w:cs="Times New Roman" w:eastAsia="Times New Roman"/>
          <w:b w:val="0"/>
          <w:i w:val="0"/>
          <w:sz w:val="28"/>
        </w:rPr>
        <w:t>6.</w:t>
        <w:tab/>
        <w:t>Конвейермен EyePACS-те оқытылған модель APTOS 2019-ға қосымша оқытусыз тасымалданды, алдын ала тіркелген G ≥ 0,85 жалпылау коэффициентінен өтіп, әрбір дәреже бойынша базалық конфигурациядан асты; базалық конфигурация да табалдырықтан өтеді, сондықтан дәлел критерийде емес, салыстыруда жатыр (3-эксперимент, H-4 расталды).</w:t>
      </w:r>
    </w:p>
    <w:p>
      <w:pPr>
        <w:ind w:left="709" w:hanging="397"/>
        <w:jc w:val="both"/>
      </w:pPr>
      <w:r>
        <w:rPr>
          <w:rFonts w:ascii="Times New Roman" w:hAnsi="Times New Roman" w:cs="Times New Roman" w:eastAsia="Times New Roman"/>
          <w:b w:val="0"/>
          <w:i w:val="0"/>
          <w:sz w:val="28"/>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біріктірілген конфигурацияда модель назарының сараптамалық белгілеумен тығызырақ үйлесетінін көрсетті — аннотацияланған ошақтың төрт түрінің барлығында және екі метрика бойынша да (4-эксперимент, H-5 тек өзінің сандық жартысында расталды).</w:t>
      </w:r>
    </w:p>
    <w:p>
      <w:pPr>
        <w:ind w:left="709" w:hanging="397"/>
        <w:jc w:val="both"/>
      </w:pPr>
      <w:r>
        <w:rPr>
          <w:rFonts w:ascii="Times New Roman" w:hAnsi="Times New Roman" w:cs="Times New Roman" w:eastAsia="Times New Roman"/>
          <w:b w:val="0"/>
          <w:i w:val="0"/>
          <w:sz w:val="28"/>
        </w:rPr>
        <w:t>8.</w:t>
        <w:tab/>
        <w:t>Екі сыртқы клиникалық корпуста да біріктірілген конфигурация жоғары абсолютті weighted F1 көрсетті, әрі әрбір айырма минималды клиникалық маңызды шамаға жетіп, аралығы нөлді қамтымайды (5-эксперимент, H-7 деградацияға төзімділік емес, абсолютті сыртқы сапа туралы тұжырым ретінде расталды); жіктеу сапасы бес камералық топтаманың барлығында сақталып, олардың арасындағы шашырау азайды (6-эксперимент, H-6 расталды); деректер тапшы режимде біріктірілген конфигурация тағы да күштірек болды — деректер мол кездегі өлшенген артықшылықпен салыстырмалы әрі одан аспайтын шамада (7-эксперимент).</w:t>
      </w:r>
    </w:p>
    <w:p>
      <w:pPr>
        <w:ind w:left="709" w:hanging="397"/>
        <w:jc w:val="both"/>
      </w:pPr>
      <w:r>
        <w:rPr>
          <w:rFonts w:ascii="Times New Roman" w:hAnsi="Times New Roman" w:cs="Times New Roman" w:eastAsia="Times New Roman"/>
          <w:b w:val="0"/>
          <w:i w:val="0"/>
          <w:sz w:val="28"/>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жобаланды; бұл — жобалық спецификация: прототип іске асырылмаған және далалық сынақтар жүргізілмеген.</w:t>
      </w:r>
    </w:p>
    <w:p>
      <w:pPr>
        <w:keepNext/>
        <w:spacing w:before="240" w:after="120"/>
        <w:jc w:val="left"/>
      </w:pPr>
      <w:r>
        <w:rPr>
          <w:rFonts w:ascii="Times New Roman" w:hAnsi="Times New Roman" w:cs="Times New Roman" w:eastAsia="Times New Roman"/>
          <w:b/>
          <w:i w:val="0"/>
          <w:sz w:val="28"/>
        </w:rPr>
        <w:t>Қорғауға ұсынылатын тұжырымдар</w:t>
      </w:r>
    </w:p>
    <w:p>
      <w:pPr>
        <w:ind w:firstLine="709"/>
        <w:jc w:val="both"/>
      </w:pPr>
      <w:r>
        <w:rPr>
          <w:rFonts w:ascii="Times New Roman" w:hAnsi="Times New Roman" w:cs="Times New Roman" w:eastAsia="Times New Roman"/>
          <w:b w:val="0"/>
          <w:i w:val="0"/>
          <w:sz w:val="28"/>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біріктірілген парадигмаға (P2) қайта пайымдау. </w:t>
      </w:r>
      <w:r>
        <w:rPr>
          <w:rFonts w:ascii="Times New Roman" w:hAnsi="Times New Roman" w:cs="Times New Roman" w:eastAsia="Times New Roman"/>
          <w:b w:val="0"/>
          <w:i/>
          <w:sz w:val="28"/>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rPr>
        <w:t>2.</w:t>
        <w:tab/>
        <w:t xml:space="preserve">Біріктірілген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(H-1). </w:t>
      </w:r>
      <w:r>
        <w:rPr>
          <w:rFonts w:ascii="Times New Roman" w:hAnsi="Times New Roman" w:cs="Times New Roman" w:eastAsia="Times New Roman"/>
          <w:b w:val="0"/>
          <w:i/>
          <w:sz w:val="28"/>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(H-2). </w:t>
      </w:r>
      <w:r>
        <w:rPr>
          <w:rFonts w:ascii="Times New Roman" w:hAnsi="Times New Roman" w:cs="Times New Roman" w:eastAsia="Times New Roman"/>
          <w:b w:val="0"/>
          <w:i/>
          <w:sz w:val="28"/>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(H-2). </w:t>
      </w:r>
      <w:r>
        <w:rPr>
          <w:rFonts w:ascii="Times New Roman" w:hAnsi="Times New Roman" w:cs="Times New Roman" w:eastAsia="Times New Roman"/>
          <w:b w:val="0"/>
          <w:i/>
          <w:sz w:val="28"/>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rPr>
        <w:t>5.</w:t>
        <w:tab/>
        <w:t xml:space="preserve">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(H-3). </w:t>
      </w:r>
      <w:r>
        <w:rPr>
          <w:rFonts w:ascii="Times New Roman" w:hAnsi="Times New Roman" w:cs="Times New Roman" w:eastAsia="Times New Roman"/>
          <w:b w:val="0"/>
          <w:i/>
          <w:sz w:val="28"/>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(H-4). </w:t>
      </w:r>
      <w:r>
        <w:rPr>
          <w:rFonts w:ascii="Times New Roman" w:hAnsi="Times New Roman" w:cs="Times New Roman" w:eastAsia="Times New Roman"/>
          <w:b w:val="0"/>
          <w:i/>
          <w:sz w:val="28"/>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rPr>
        <w:t>7.</w:t>
        <w:tab/>
        <w:t xml:space="preserve">Біріктірілген конфигурацияда модельдің назары сарапшының пиксел деңгейіндегі ошақ аннотациясымен тығызырақ үйлеседі — аннотацияланған төрт ошақ түрінің бәрінде, бастапқы және екінші өлшем бойынша да әрі назар табалдырығы бойынша орнықты түрде (H-5). </w:t>
      </w:r>
      <w:r>
        <w:rPr>
          <w:rFonts w:ascii="Times New Roman" w:hAnsi="Times New Roman" w:cs="Times New Roman" w:eastAsia="Times New Roman"/>
          <w:b w:val="0"/>
          <w:i/>
          <w:sz w:val="28"/>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rPr>
        <w:t>8.</w:t>
        <w:tab/>
        <w:t xml:space="preserve">Жіктеу сапасы зерттелген барлық камералық топта сақталады, ал мәні бойынша — осы топтар арасындағы сапа шашырауы азаяды (H-6). </w:t>
      </w:r>
      <w:r>
        <w:rPr>
          <w:rFonts w:ascii="Times New Roman" w:hAnsi="Times New Roman" w:cs="Times New Roman" w:eastAsia="Times New Roman"/>
          <w:b w:val="0"/>
          <w:i/>
          <w:sz w:val="28"/>
        </w:rPr>
        <w:t>Екі конфигурация да ұстап қалу табалдырығынан өтеді; бес топтың екеуі — сыртқы клиникалық корпустардың өздері әрі тәуелсіз қайталауды бермейді; үш топтама бір құрылғыны емес, бірнеше камера моделін біріктіреді; бұның ешқайсысы құрылғыларды сертификаттауды немесе аспаптан тәуелсіз енгізуге дайындық туралы мәлімдемені құрамайды.</w:t>
      </w:r>
    </w:p>
    <w:p>
      <w:pPr>
        <w:ind w:left="709" w:hanging="397"/>
        <w:jc w:val="both"/>
      </w:pPr>
      <w:r>
        <w:rPr>
          <w:rFonts w:ascii="Times New Roman" w:hAnsi="Times New Roman" w:cs="Times New Roman" w:eastAsia="Times New Roman"/>
          <w:b w:val="0"/>
          <w:i w:val="0"/>
          <w:sz w:val="28"/>
        </w:rPr>
        <w:t>9.</w:t>
        <w:tab/>
        <w:t xml:space="preserve">Біріктірілген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(H-7). </w:t>
      </w:r>
      <w:r>
        <w:rPr>
          <w:rFonts w:ascii="Times New Roman" w:hAnsi="Times New Roman" w:cs="Times New Roman" w:eastAsia="Times New Roman"/>
          <w:b w:val="0"/>
          <w:i/>
          <w:sz w:val="28"/>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минималды маңызды шамадан асатын қор 0,0041 құрайды,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модульдік архитектурасы. </w:t>
      </w:r>
      <w:r>
        <w:rPr>
          <w:rFonts w:ascii="Times New Roman" w:hAnsi="Times New Roman" w:cs="Times New Roman" w:eastAsia="Times New Roman"/>
          <w:b w:val="0"/>
          <w:i/>
          <w:sz w:val="28"/>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ind w:firstLine="709"/>
        <w:jc w:val="both"/>
      </w:pPr>
      <w:r>
        <w:rPr>
          <w:rFonts w:ascii="Times New Roman" w:hAnsi="Times New Roman" w:cs="Times New Roman" w:eastAsia="Times New Roman"/>
          <w:b w:val="0"/>
          <w:i w:val="0"/>
          <w:sz w:val="28"/>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біріктірілген конфигурация қайтадан күштірек болды — бірақ қоры мол деректердегі өсіммен </w:t>
      </w:r>
      <w:r>
        <w:rPr>
          <w:rFonts w:ascii="Times New Roman" w:hAnsi="Times New Roman" w:cs="Times New Roman" w:eastAsia="Times New Roman"/>
          <w:b/>
          <w:i w:val="0"/>
          <w:sz w:val="28"/>
        </w:rPr>
        <w:t>салыстырмалы, одан асып түспейтін</w:t>
      </w:r>
      <w:r>
        <w:rPr>
          <w:rFonts w:ascii="Times New Roman" w:hAnsi="Times New Roman" w:cs="Times New Roman" w:eastAsia="Times New Roman"/>
          <w:b w:val="0"/>
          <w:i w:val="0"/>
          <w:sz w:val="28"/>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rPr>
        <w:t>Қорғауға ұсынылмайды:</w:t>
      </w:r>
      <w:r>
        <w:rPr>
          <w:rFonts w:ascii="Times New Roman" w:hAnsi="Times New Roman" w:cs="Times New Roman" w:eastAsia="Times New Roman"/>
          <w:b w:val="0"/>
          <w:i w:val="0"/>
          <w:sz w:val="28"/>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rPr>
        <w:t>Теориялық маңыздылығы</w:t>
      </w:r>
    </w:p>
    <w:p>
      <w:pPr>
        <w:ind w:firstLine="709"/>
        <w:jc w:val="both"/>
      </w:pPr>
      <w:r>
        <w:rPr>
          <w:rFonts w:ascii="Times New Roman" w:hAnsi="Times New Roman" w:cs="Times New Roman" w:eastAsia="Times New Roman"/>
          <w:b w:val="0"/>
          <w:i w:val="0"/>
          <w:sz w:val="28"/>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 ізденушінің бұрын жарияланған жұмыстарын дамытатын, мұнда тұңғыш пайда болмайтын, —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статистикалық жүйесі ұсынылды. Тағы бір үлес өзге сипатта: осы кезге дейін тек түсіндірме ретінде тартылып келген механизм өлшенетін етілді — берілген хаттамалық шарт кезінде (нормалау көз домені статистикалары бойынша) алдыңғы соңғы қабатта есептелетін шама ретінде, бұл механистік тұжырымды ол түсіндіретін сапа тұжырымдарынан тәуелсіз теріске шығарылатын етеді. Лазерлік әсер кезіндегі көз түбі тіндері жауабының байланысқан термооптикалық моделі — теориялық және есептеу үлесі.</w:t>
      </w:r>
    </w:p>
    <w:p>
      <w:pPr>
        <w:keepNext/>
        <w:spacing w:before="240" w:after="120"/>
        <w:jc w:val="left"/>
      </w:pPr>
      <w:r>
        <w:rPr>
          <w:rFonts w:ascii="Times New Roman" w:hAnsi="Times New Roman" w:cs="Times New Roman" w:eastAsia="Times New Roman"/>
          <w:b/>
          <w:i w:val="0"/>
          <w:sz w:val="28"/>
        </w:rPr>
        <w:t>Практикалық маңыздылығы</w:t>
      </w:r>
    </w:p>
    <w:p>
      <w:pPr>
        <w:ind w:firstLine="709"/>
        <w:jc w:val="both"/>
      </w:pPr>
      <w:r>
        <w:rPr>
          <w:rFonts w:ascii="Times New Roman" w:hAnsi="Times New Roman" w:cs="Times New Roman" w:eastAsia="Times New Roman"/>
          <w:b w:val="0"/>
          <w:i w:val="0"/>
          <w:sz w:val="28"/>
        </w:rPr>
        <w:t>Біріктірілген конвейер есептеу ресурстары шектеулі жағдайда ДР-ні автоматтандырылған диагностикалауға арналған толық спецификацияланған әрі қайталанатын алдын ала өңдеу режимін құрайды: ол өз операторларымен, параметрлерімен және қолданылу тәртібімен кезең-кезеңімен анықталған, ал іске асырылуы А қосымшасында келтірілген. Дегенмен параметр мәндері нақты корпустарда бекітілген әрі тасымалданатын тұрақтылар емес, сол корпустардың қасиеттері.</w:t>
      </w:r>
    </w:p>
    <w:p>
      <w:pPr>
        <w:ind w:firstLine="709"/>
        <w:jc w:val="both"/>
      </w:pPr>
      <w:r>
        <w:rPr>
          <w:rFonts w:ascii="Times New Roman" w:hAnsi="Times New Roman" w:cs="Times New Roman" w:eastAsia="Times New Roman"/>
          <w:b w:val="0"/>
          <w:i w:val="0"/>
          <w:sz w:val="28"/>
        </w:rPr>
        <w:t xml:space="preserve">Алдын ала өңдеу қозғалтқышы, инференс, store-and-forward режиміндегі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Бұл — жобалық спецификация: прототип іске асырылмаған, клиникалық жағдайда енгізу сыналмаған, ал деректерді қорғау ережелері сертификатталған сәйкестік емес, жоба бойынша сәйкестік. Жүйе диагноз бен ол үшін жауапкершілік дәрігерде қалатын шешім қабылдауды қолдау ретінде ойластырылған; мұнда ештеңе дербес диагностикалық құрал ретінде ұсынылмайды. </w:t>
      </w:r>
      <w:r>
        <w:rPr>
          <w:rFonts w:ascii="Times New Roman" w:hAnsi="Times New Roman" w:cs="Times New Roman" w:eastAsia="Times New Roman"/>
          <w:b w:val="0"/>
          <w:i/>
          <w:sz w:val="28"/>
        </w:rPr>
        <w:t>(Жарияланым және апробация есебі D қосымшасында келтірілген.)</w:t>
      </w:r>
    </w:p>
    <w:p>
      <w:pPr>
        <w:keepNext/>
        <w:spacing w:before="240" w:after="120"/>
        <w:jc w:val="left"/>
      </w:pPr>
      <w:r>
        <w:rPr>
          <w:rFonts w:ascii="Times New Roman" w:hAnsi="Times New Roman" w:cs="Times New Roman" w:eastAsia="Times New Roman"/>
          <w:b/>
          <w:i w:val="0"/>
          <w:sz w:val="28"/>
        </w:rPr>
        <w:t>Нәтижелердің сенімділігі</w:t>
      </w:r>
    </w:p>
    <w:p>
      <w:pPr>
        <w:ind w:firstLine="709"/>
        <w:jc w:val="both"/>
      </w:pPr>
      <w:r>
        <w:rPr>
          <w:rFonts w:ascii="Times New Roman" w:hAnsi="Times New Roman" w:cs="Times New Roman" w:eastAsia="Times New Roman"/>
          <w:b w:val="0"/>
          <w:i w:val="0"/>
          <w:sz w:val="28"/>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 Үшіншісі: бір эксперимент қайта таратуға жатпайтын клиникалық корпусқа сүйенеді, сондықтан сырттай қайталанбайды, ал калибрлеу — модельдің шығыс ықтималдықтарының эмпирикалық қасиеті, клиникалық шешім сенімділігінің кепілі емес.</w:t>
      </w:r>
    </w:p>
    <w:p>
      <w:pPr>
        <w:keepNext/>
        <w:spacing w:before="240" w:after="120"/>
        <w:jc w:val="left"/>
      </w:pPr>
      <w:r>
        <w:rPr>
          <w:rFonts w:ascii="Times New Roman" w:hAnsi="Times New Roman" w:cs="Times New Roman" w:eastAsia="Times New Roman"/>
          <w:b/>
          <w:i w:val="0"/>
          <w:sz w:val="28"/>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Құжаттық есеп — жарияланымдар каталогы мен оның индекстелу және жариялану растамалары — D қосымшасында келтірілген.</w:t>
      </w:r>
    </w:p>
    <w:p>
      <w:pPr>
        <w:ind w:firstLine="709"/>
        <w:jc w:val="both"/>
      </w:pPr>
      <w:r>
        <w:rPr>
          <w:rFonts w:ascii="Times New Roman" w:hAnsi="Times New Roman" w:cs="Times New Roman" w:eastAsia="Times New Roman"/>
          <w:b w:val="0"/>
          <w:i w:val="0"/>
          <w:sz w:val="28"/>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ind w:firstLine="709"/>
        <w:jc w:val="both"/>
      </w:pPr>
      <w:r>
        <w:rPr>
          <w:rFonts w:ascii="Times New Roman" w:hAnsi="Times New Roman" w:cs="Times New Roman" w:eastAsia="Times New Roman"/>
          <w:b w:val="0"/>
          <w:i w:val="0"/>
          <w:sz w:val="28"/>
        </w:rPr>
        <w:t>Сөз зерттеу бағытының жарияланған ұлттық басымдықтарға сәйкестігі туралы: бұл жұмыстың мемлекеттік бағдарлама аясында қаржыландырылғаны, қандай да бір органның тапсырысымен не институционалдық мандат бойынша орындалғаны туралы мәлімдеме емес және осы зерттеумен қандай да бір бағдарламалық мақсатқа қол жеткізілгені туралы тұжырым емес.</w:t>
      </w:r>
    </w:p>
    <w:p>
      <w:pPr>
        <w:keepNext/>
        <w:spacing w:before="240" w:after="120"/>
        <w:jc w:val="left"/>
      </w:pPr>
      <w:r>
        <w:rPr>
          <w:rFonts w:ascii="Times New Roman" w:hAnsi="Times New Roman" w:cs="Times New Roman" w:eastAsia="Times New Roman"/>
          <w:b/>
          <w:i w:val="0"/>
          <w:sz w:val="28"/>
        </w:rPr>
        <w:t>Жарияланымдар</w:t>
      </w:r>
    </w:p>
    <w:p>
      <w:pPr>
        <w:ind w:firstLine="709"/>
        <w:jc w:val="both"/>
      </w:pPr>
      <w:r>
        <w:rPr>
          <w:rFonts w:ascii="Times New Roman" w:hAnsi="Times New Roman" w:cs="Times New Roman" w:eastAsia="Times New Roman"/>
          <w:b w:val="0"/>
          <w:i w:val="0"/>
          <w:sz w:val="28"/>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rPr>
        <w:t>ҚР ҰҒА Хабарлары, физика-математика сериясы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Қазақстан-Британ техникалық университетінің Хабаршысы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КазУТБ Хабаршысы</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i w:val="0"/>
          <w:sz w:val="28"/>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rPr>
        <w:t>5.</w:t>
        <w:tab/>
        <w:t>Sapakova S.Z., Daniyarova D.R., Yesmukhamedov N.S., Armankyzy R., Yemberdiyeva A.B., Kaldybaeva A.S. Mathematical modeling of laser exposure on fundus tissues in the treatment of diabetic retinopathy // КазУТБ Хабаршысы. — 2024. — Т. 2, № 27-740. https://doi.org/10.58805/kazutb.v.2.27-740</w:t>
      </w:r>
    </w:p>
    <w:p>
      <w:pPr>
        <w:keepNext/>
        <w:spacing w:before="240" w:after="120"/>
        <w:jc w:val="left"/>
      </w:pPr>
      <w:r>
        <w:rPr>
          <w:rFonts w:ascii="Times New Roman" w:hAnsi="Times New Roman" w:cs="Times New Roman" w:eastAsia="Times New Roman"/>
          <w:b/>
          <w:i w:val="0"/>
          <w:sz w:val="28"/>
        </w:rPr>
        <w:t>Жұмыстың негізгі мазмұны</w:t>
      </w:r>
    </w:p>
    <w:p>
      <w:pPr>
        <w:ind w:firstLine="709"/>
        <w:jc w:val="both"/>
      </w:pPr>
      <w:r>
        <w:rPr>
          <w:rFonts w:ascii="Times New Roman" w:hAnsi="Times New Roman" w:cs="Times New Roman" w:eastAsia="Times New Roman"/>
          <w:b/>
          <w:i w:val="0"/>
          <w:sz w:val="28"/>
        </w:rPr>
        <w:t>Кіріспеде</w:t>
      </w:r>
      <w:r>
        <w:rPr>
          <w:rFonts w:ascii="Times New Roman" w:hAnsi="Times New Roman" w:cs="Times New Roman" w:eastAsia="Times New Roman"/>
          <w:b w:val="0"/>
          <w:i w:val="0"/>
          <w:sz w:val="28"/>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rPr>
        <w:t>1-тарау —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val="0"/>
          <w:i w:val="0"/>
          <w:sz w:val="28"/>
        </w:rPr>
        <w:t xml:space="preserve"> ДР-нің медициналық және эпидемиологиялық контексі мен оның клиникалық градация жүйелерін, ресурсы шектеулі орталардағы скрининг талаптарын, көз түбі кескіндерінің сапасы деградациясының көздері мен аспаптық вариабельділікті, торқабық кескіндерін жіктеуге арналған терең оқыту тәсілдерін (CNN архитектуралары, білімді тасымалдау мен өзін-өзі бақылайтын алдын ала оқыту, түсіндірілу) қарастырады әрі бар автоматтандырылған ДР скрининг жүйелеріне сыни талдау жасайды,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rPr>
        <w:t>2-тарау — «Көз түбі кескіндерін талдауға арналған кескінді алдын ала өңдеу мен терең оқытудың теориялық негіздері»</w:t>
      </w:r>
      <w:r>
        <w:rPr>
          <w:rFonts w:ascii="Times New Roman" w:hAnsi="Times New Roman" w:cs="Times New Roman" w:eastAsia="Times New Roman"/>
          <w:b w:val="0"/>
          <w:i w:val="0"/>
          <w:sz w:val="28"/>
        </w:rPr>
        <w:t xml:space="preserve"> кескінді жақсартудың математикалық негіздерін (гистограмма эквализациясы, қос шектеулі CLAHE, кеңістіктік сүзгілеу), CNN-нің теориялық аппаратын (convolution, pooling, теңгерімсіз деректерге арналған loss function, regularization), білімді тасымалдау мен домен ішілік өзін-өзі бақылайтын репрезентацияны, торқабық терапиясындағы лазер–тін өзара әрекеттесуін математикалық модельдеуді, түсіндірілуді (CAM, Grad-CAM, ALO, IoU) және алдын ала өңдеуді бағалауға арналған кескін сапасы метрикаларын айқындайды.</w:t>
      </w:r>
    </w:p>
    <w:p>
      <w:pPr>
        <w:ind w:firstLine="709"/>
        <w:jc w:val="both"/>
      </w:pPr>
      <w:r>
        <w:rPr>
          <w:rFonts w:ascii="Times New Roman" w:hAnsi="Times New Roman" w:cs="Times New Roman" w:eastAsia="Times New Roman"/>
          <w:b/>
          <w:i w:val="0"/>
          <w:sz w:val="28"/>
        </w:rPr>
        <w:t>3-тарау — «Біріктірілген алдын ала өңдеу–CNN конвейерін жобалау әдіснамасы»</w:t>
      </w:r>
      <w:r>
        <w:rPr>
          <w:rFonts w:ascii="Times New Roman" w:hAnsi="Times New Roman" w:cs="Times New Roman" w:eastAsia="Times New Roman"/>
          <w:b w:val="0"/>
          <w:i w:val="0"/>
          <w:sz w:val="28"/>
        </w:rPr>
        <w:t xml:space="preserve"> біріктірілген 8 кезеңді алдын ала өңдеу конвейері мен модификацияланған қос шектеулі CLAHE алгоритмін, аугментация стратегиясын және сыртқы кескіндерді қабылдау хаттамасын формализациялайды; CNN архитектураларын (ResNet-50 және EfficientNet-B3) спецификациялайды; білімді тасымалдау мен офтальмологиялық-арнайы өзін-өзі бақылайтын алдын ала оқыту әдіснамасын, архитектураны бес класты жіктеуге бейімдеуді және салмақталған (Focal) loss функциясының тұжырымдамасын егжей-тегжейлейді; көп метрикалы бағалау мен статистикалық сенімділік жүйесін анықтайды.</w:t>
      </w:r>
    </w:p>
    <w:p>
      <w:pPr>
        <w:ind w:firstLine="709"/>
        <w:jc w:val="both"/>
      </w:pPr>
      <w:r>
        <w:rPr>
          <w:rFonts w:ascii="Times New Roman" w:hAnsi="Times New Roman" w:cs="Times New Roman" w:eastAsia="Times New Roman"/>
          <w:b/>
          <w:i w:val="0"/>
          <w:sz w:val="28"/>
        </w:rPr>
        <w:t>4-тарау — «Эксперименттік зерттеу — алдын ала өңдеудің CNN диагностикалық сапасына әсері»</w:t>
      </w:r>
      <w:r>
        <w:rPr>
          <w:rFonts w:ascii="Times New Roman" w:hAnsi="Times New Roman" w:cs="Times New Roman" w:eastAsia="Times New Roman"/>
          <w:b w:val="0"/>
          <w:i w:val="0"/>
          <w:sz w:val="28"/>
        </w:rPr>
        <w:t xml:space="preserve"> деңгейлік деректер жиынтығы архитектурасын және сегіз зерттеуді ұсынады: 1-эксперимент (қалпына келтірілген 2×2 факторлық жоспардағы біріктірілген конвейер басымдығы, A–D конфигурациялары), 2-эксперимент (кезеңдердің кумулятивтік абляциясы, CLAHE шегі мен flat-field σ свиптері, кескін сапасы метрикаларымен), алты сыртқы корпуста «көз–нысана» қашықтығын тікелей өлшеу (H-3), 3-эксперимент (APTOS 2019-ға қосымша оқытусыз тасымалдау), 4-эксперимент (IDRiD-те сандық ALO/IoU-мен Grad-CAM түсіндірілуі), 5-эксперимент (IDRiD пен Messidor-2-де сыртқы клиникалық сапа), 6-эксперимент (DDR, ODIR-5K, RFMiD-те аспаптар бойынша домендік ығысу) және 7-эксперимент (IDRiD-те шағын деректерде оқыту, клиникалық жиынтық бөлек қалдырылып).</w:t>
      </w:r>
    </w:p>
    <w:p>
      <w:pPr>
        <w:ind w:firstLine="709"/>
        <w:jc w:val="both"/>
      </w:pPr>
      <w:r>
        <w:rPr>
          <w:rFonts w:ascii="Times New Roman" w:hAnsi="Times New Roman" w:cs="Times New Roman" w:eastAsia="Times New Roman"/>
          <w:b/>
          <w:i w:val="0"/>
          <w:sz w:val="28"/>
        </w:rPr>
        <w:t>5-тарау — «Сенімділікті валидациялау және салыстырмалы талдау»</w:t>
      </w:r>
      <w:r>
        <w:rPr>
          <w:rFonts w:ascii="Times New Roman" w:hAnsi="Times New Roman" w:cs="Times New Roman" w:eastAsia="Times New Roman"/>
          <w:b w:val="0"/>
          <w:i w:val="0"/>
          <w:sz w:val="28"/>
        </w:rPr>
        <w:t xml:space="preserve"> түсіндірілу нәтижелерін, статистикалық валидацияны (bootstrap сенімділік аралықтары мен аралас әсерлер моделі, тұжырымдар күшінің қорытынды жіктемелері), жұмысты жарияланған жүйелердің контексіне рангілеусіз қоюды және «сапа–күрделілік» арасындағы теңгерімді жинақтайды, әрі ұсынылған тәсілдің шектеулері мен шекаралық шарттарын тұжырымдайды.</w:t>
      </w:r>
    </w:p>
    <w:p>
      <w:pPr>
        <w:ind w:firstLine="709"/>
        <w:jc w:val="both"/>
      </w:pPr>
      <w:r>
        <w:rPr>
          <w:rFonts w:ascii="Times New Roman" w:hAnsi="Times New Roman" w:cs="Times New Roman" w:eastAsia="Times New Roman"/>
          <w:b/>
          <w:i w:val="0"/>
          <w:sz w:val="28"/>
        </w:rPr>
        <w:t>6-тарау — «Ресурсы шектеулі орталарға арналған ДР скринингінің автоматтандырылған жүйесінің архитектурасы»</w:t>
      </w:r>
      <w:r>
        <w:rPr>
          <w:rFonts w:ascii="Times New Roman" w:hAnsi="Times New Roman" w:cs="Times New Roman" w:eastAsia="Times New Roman"/>
          <w:b w:val="0"/>
          <w:i w:val="0"/>
          <w:sz w:val="28"/>
        </w:rPr>
        <w:t xml:space="preserve"> функционалдық және функционалдық емес талаптарды, PACS пен EHR интеграциясы бар модульдік архитектураны, AI өңдеу модулін (бапталатын алдын ала өңдеу қозғалтқышы мен инференс модулі), клиникалық жұмыс үдерісін интеграциялауды (телемедицина, портативті құрылғыларды және ұлттық электрондық денсаулық сақтау платформасын қолдау, «дәрігер-контурда» шешім қабылдауды қолдау) және деректер қауіпсіздігі мен нормативтік сәйкестік жүйесін (GDPR/HIPAA-мен үйлесімді) спецификациялайды, әрі оның Қазақстанның денсаулық сақтау инфрақұрылымына қолданылуын көрсетеді.</w:t>
      </w:r>
    </w:p>
    <w:p>
      <w:pPr>
        <w:keepNext/>
        <w:spacing w:before="240" w:after="120"/>
        <w:jc w:val="left"/>
      </w:pPr>
      <w:r>
        <w:rPr>
          <w:rFonts w:ascii="Times New Roman" w:hAnsi="Times New Roman" w:cs="Times New Roman" w:eastAsia="Times New Roman"/>
          <w:b/>
          <w:i w:val="0"/>
          <w:sz w:val="28"/>
        </w:rPr>
        <w:t>Автордың жеке үлесі</w:t>
      </w:r>
    </w:p>
    <w:p>
      <w:pPr>
        <w:ind w:firstLine="709"/>
        <w:jc w:val="both"/>
      </w:pPr>
      <w:r>
        <w:rPr>
          <w:rFonts w:ascii="Times New Roman" w:hAnsi="Times New Roman" w:cs="Times New Roman" w:eastAsia="Times New Roman"/>
          <w:b w:val="0"/>
          <w:i w:val="0"/>
          <w:sz w:val="28"/>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rPr>
        <w:t>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бөлімдерден — нормативтік сілтемелерден, анықтамалардан, белгілер мен қысқартулардан — тұрады, олардан кейін кіріспе, алты тарау, қорытынды, пайдаланылған дереккөздер тізімі және алты қосымша (А–F) келеді: алдын ала өңдеу конвейерінің бастапқы коды, қосымша эксперименттік нәтижелер мен қателік матрицалары, жүйе архитектурасының диаграммалары, жарияланым және апробация есебі, назар карталарының галереясы және аспаптық домендік ығысуды бағалау бойынша қосымша кестелер.</w:t>
      </w:r>
    </w:p>
    <w:p>
      <w:pPr>
        <w:ind w:firstLine="709"/>
        <w:jc w:val="both"/>
      </w:pPr>
      <w:r>
        <w:rPr>
          <w:rFonts w:ascii="Times New Roman" w:hAnsi="Times New Roman" w:cs="Times New Roman" w:eastAsia="Times New Roman"/>
          <w:b w:val="0"/>
          <w:i w:val="0"/>
          <w:sz w:val="28"/>
        </w:rPr>
        <w:t>Диссертация 264 бетте баяндалған, 42 кесте, 26 сурет және 2 сызбадан тұрады. Пайдаланылған дереккөздер тізімі 107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