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but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The methodological question follows: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of a setting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which an eight-stage preprocessing pipeline is specified as an integral component of the model rather than as preparation of the data, and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of image-quality loss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pipeline, the classification architectures, the</w:t>
      </w:r>
    </w:p>
    <w:p>
      <w:pPr>
        <w:ind w:firstLine="709"/>
        <w:jc w:val="both"/>
      </w:pPr>
      <w:r>
        <w:rPr>
          <w:rFonts w:ascii="Times New Roman" w:hAnsi="Times New Roman" w:cs="Times New Roman" w:eastAsia="Times New Roman"/>
          <w:b w:val="0"/>
          <w:i w:val="0"/>
          <w:sz w:val="28"/>
          <w:u w:val="none"/>
        </w:rPr>
        <w:t>pretraining strategy, the explainability formalism and the evaluation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in domain and on seven external corpora, and to validate</w:t>
      </w:r>
    </w:p>
    <w:p>
      <w:pPr>
        <w:ind w:firstLine="709"/>
        <w:jc w:val="both"/>
      </w:pPr>
      <w:r>
        <w:rPr>
          <w:rFonts w:ascii="Times New Roman" w:hAnsi="Times New Roman" w:cs="Times New Roman" w:eastAsia="Times New Roman"/>
          <w:b w:val="0"/>
          <w:i w:val="0"/>
          <w:sz w:val="28"/>
          <w:u w:val="none"/>
        </w:rPr>
        <w:t>the results statistically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studied in its entirety from the image as it leaves the camera to the grade the model assigns rather than in the classification step alone. The subject is the set of methods by which preprocessing is integrated with classification, together with the properties the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a difference in outcome is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local contrast and intensity scale are set by the photometric stages of the pipeline.</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from cameras of four manufacturers and several independent grading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Preprocessing is formalised as a binding part of the model specification and placed under controlled experimental contrast, so what is new is not the existence of a pipeline but the treatment of one as an object of experiment rather than of description. Each item below is at once an engineering result about a particular pipeline and evidence bearing on that stance.</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and falls on all six by 0.070 to 0.093 with every interval excluding zero. Normalisation uses source statistics and is never recomputed on the target, so the convergence is a property of the preprocessing rather than of a procedure fitted to it.</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external robustness normalises an arm's external performance against its own in-domain performance, and so penalises a configuration for its in-domain strength wherever it is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The conditions bounding each of them are set out under the reliability of the results, and they are not detachable: a provision read without its bound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and the results are consistent with it under the conditions tested.</w:t>
      </w:r>
    </w:p>
    <w:p>
      <w:pPr>
        <w:ind w:firstLine="709"/>
        <w:jc w:val="both"/>
      </w:pPr>
      <w:r>
        <w:rPr>
          <w:rFonts w:ascii="Times New Roman" w:hAnsi="Times New Roman" w:cs="Times New Roman" w:eastAsia="Times New Roman"/>
          <w:b w:val="0"/>
          <w:i w:val="0"/>
          <w:sz w:val="28"/>
          <w:u w:val="none"/>
        </w:rPr>
        <w:t>The integrated configuration exceeds the baseline on the training corpus of 35,126 images, on both architectures, in all three components of the conjunctive criterion: weighted F1 by 6.54 and 6.55 percentage points, area under the curve by 0.032 and 0.036, and quadratic kappa by 0.11. Every interval excludes zero, every comparison survives correction for multiplicity, and there is no interaction between arm and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of 0.0655,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Cumulative ablation over eight levels under one initialisation raises weighted F1 from 0.7538 to 0.8193, monotonically and without a single inversion in any of the five folds, each of the seven transitions contributing between 0.0065 and 0.0143 against a between-fold dispersion of 0.0042 to 0.0060. The two photometric stages lead and together carry 41% of the total. Both parameters exhibit an interior optimum confirmed on held-out data, at a clip factor of 2.5 with a histogram threshold of 0.03 and at a correction scale of 0.07 of the field diameter.</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by 0.070 to 0.093 at the penultimate layer with every interval excluding zero and by 34% to 38% at the pixel level, achieved without the transform observing any target corpus.</w:t>
      </w:r>
    </w:p>
    <w:p>
      <w:pPr>
        <w:ind w:firstLine="709"/>
        <w:jc w:val="both"/>
      </w:pPr>
      <w:r>
        <w:rPr>
          <w:rFonts w:ascii="Times New Roman" w:hAnsi="Times New Roman" w:cs="Times New Roman" w:eastAsia="Times New Roman"/>
          <w:b w:val="0"/>
          <w:i w:val="0"/>
          <w:sz w:val="28"/>
          <w:u w:val="none"/>
        </w:rPr>
        <w:t>Competence transfers to corpora not seen in training. On the cross-corpus set it reaches a generalisation ratio of 0.898 against 0.858 and a weighted F1 higher by 0.089; across five camera groupings it is higher on every one, and the spread between them contracts by a factor of 2.4 in weighted F1 and 3.1 in area under the curve, both intervals excluding zero. On two external clinical corpora it exceeds the baseline by 0.069 and 0.054 in weighted F1, both above the minimal clinically important difference of 0.050.</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by 0.099 to 0.129 in the overlap measure at p ≤ 0.0148, and the direction holds at every binarisation threshold tested. This is defended as alignment and not as localisation.</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Five formalisations make previously informal choices explicit and testable: the clip limit, the illumination correction, attention agreement as an asymmetric overlap, the postulated mechanism as a measurable distance, and the non-neutrality of a family of robustness measures in common use.</w:t>
      </w:r>
    </w:p>
    <w:p>
      <w:pPr>
        <w:ind w:firstLine="709"/>
        <w:jc w:val="both"/>
      </w:pPr>
      <w:r>
        <w:rPr>
          <w:rFonts w:ascii="Times New Roman" w:hAnsi="Times New Roman" w:cs="Times New Roman" w:eastAsia="Times New Roman"/>
          <w:b w:val="0"/>
          <w:i w:val="0"/>
          <w:sz w:val="28"/>
          <w:u w:val="none"/>
        </w:rPr>
        <w:t>Four things the work makes practically available, each with its limit. A fully specified preprocessing regime, reproduced in the appendices, whose parameter values should be re-established rather than inherited. A screening system built around the model, whose realised and unrealised parts are distinguished throughout. A protocol for ingesting externally sourced images, validated only against the clinical source it was built for. And an argument of applicability to the national screening context,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folds replicate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is not visible in a table and is therefore stated: the acceptance criterion for each hypothesis was fixed before the experiment that tested it, and a criterion written once a result is known can always be satisfied.</w:t>
      </w:r>
    </w:p>
    <w:p>
      <w:pPr>
        <w:ind w:firstLine="709"/>
        <w:jc w:val="both"/>
      </w:pPr>
      <w:r>
        <w:rPr>
          <w:rFonts w:ascii="Times New Roman" w:hAnsi="Times New Roman" w:cs="Times New Roman" w:eastAsia="Times New Roman"/>
          <w:b w:val="0"/>
          <w:i w:val="0"/>
          <w:sz w:val="28"/>
          <w:u w:val="none"/>
        </w:rPr>
        <w:t>Three qualifications bound it in general.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val="0"/>
          <w:i w:val="0"/>
          <w:sz w:val="28"/>
          <w:u w:val="none"/>
        </w:rPr>
        <w:t>Four bounds attach to particular provisions. The stage ranking holds at the resolution of groupings only, since adjacent ranks lie within noise and the mask channel was not isolated, and the two parameter optima are properties of this corpus rather than portable constants. The reduction in distance holds in direction only: its size predicts no gain, and each arm is measured within its own representation space. Neither the generalisation ratio nor the camera-group floor discriminates between the arms, so the transfer evidence lies in the comparison and in the reduction of spread, and on the second external clinical corpus the margin over that difference is four thousandths. The attention result rests on one annotated public corpus, and the qualitative half of that hypothesis was not evaluated.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components of this research were disseminated progressively before being integrated here. The work was reported at the 3rd International Workshop on Digital Society, held in Istanbul on 28–30 October 2025. The main results are published in five peer-reviewed works. Two are indexed in Scopus: an article in Eastern-European Journal of Enterprise Technologies, 4(9), 79–88, third quartile and indexed in Web of Science as well [1], and a conference paper in Procedia Computer Science, volume 272, 496–501 [2].</w:t>
      </w:r>
    </w:p>
    <w:p>
      <w:pPr>
        <w:ind w:firstLine="709"/>
        <w:jc w:val="both"/>
      </w:pPr>
      <w:r>
        <w:rPr>
          <w:rFonts w:ascii="Times New Roman" w:hAnsi="Times New Roman" w:cs="Times New Roman" w:eastAsia="Times New Roman"/>
          <w:b w:val="0"/>
          <w:i w:val="0"/>
          <w:sz w:val="28"/>
          <w:u w:val="none"/>
        </w:rPr>
        <w:t>Three are articles in journals recommended by the national committee for quality assurance in science and higher education: News of the National Academy of Sciences of the Republic of Kazakhstan, Physico-Mathematical Series, 2(354), 74–91 [3]; Herald of the Kazakh-British Technical University, 22(4), 119–130 [4]; and Herald of KazUTB, 2(27-740), 20–30 [5].</w:t>
      </w:r>
    </w:p>
    <w:p>
      <w:pPr>
        <w:ind w:firstLine="709"/>
        <w:jc w:val="both"/>
      </w:pPr>
      <w:r>
        <w:rPr>
          <w:rFonts w:ascii="Times New Roman" w:hAnsi="Times New Roman" w:cs="Times New Roman" w:eastAsia="Times New Roman"/>
          <w:b w:val="0"/>
          <w:i w:val="0"/>
          <w:sz w:val="28"/>
          <w:u w:val="none"/>
        </w:rPr>
        <w:t>All five are co-authored and are treated throughout as prior own work. In each the candidate contributed the part on which this dissertation rests: the formulation of the preprocessing problem, the design and implementation of the pipeline, the conduct of the classification experiments, the analysis of the results and the writing of the corresponding sections. The experimental programme reported here, its protocol and its statistical validation were carried out by the candidate.</w:t>
      </w:r>
    </w:p>
    <w:p>
      <w:pPr>
        <w:ind w:firstLine="709"/>
        <w:jc w:val="both"/>
      </w:pPr>
      <w:r>
        <w:rPr>
          <w:rFonts w:ascii="Times New Roman" w:hAnsi="Times New Roman" w:cs="Times New Roman" w:eastAsia="Times New Roman"/>
          <w:b w:val="0"/>
          <w:i w:val="0"/>
          <w:sz w:val="28"/>
          <w:u w:val="none"/>
        </w:rPr>
        <w:t>Publications reporting the same experimental material are never cited as independent corroboration of one another, and the performance figures stated inside them are not imported as findings: where the same questions arise here they are re-examined on this work's own material.</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That connection is a correspondence between the direction of the research and published national priorities,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five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It characterises the grading of the disease and what a screening programme demands of a resource-limited setting, identifies the sources of image-quality loss and isolates its device-specific component, reviews what the field has done with convolutional networks and what its automated systems assume about preprocessing, and formulates the research problem that follows from that practice.</w:t>
      </w:r>
    </w:p>
    <w:p>
      <w:pPr>
        <w:ind w:firstLine="709"/>
        <w:jc w:val="both"/>
      </w:pPr>
      <w:r>
        <w:rPr>
          <w:rFonts w:ascii="Times New Roman" w:hAnsi="Times New Roman" w:cs="Times New Roman" w:eastAsia="Times New Roman"/>
          <w:b w:val="0"/>
          <w:i w:val="0"/>
          <w:sz w:val="28"/>
          <w:u w:val="none"/>
        </w:rPr>
        <w:t>Chapter 2 specifies the methodology. It sets out the eight-stage pipeline with the theory grounding each stage, formalises the clip limit and the illumination correction, describes the two classification architectures and their adaptation to a four-channel input, states the pretraining and fine-tuning strategy, defines the explainability formalism, and fixes the evaluation protocol and the statistical procedures in advance of the experiments.</w:t>
      </w:r>
    </w:p>
    <w:p>
      <w:pPr>
        <w:ind w:firstLine="709"/>
        <w:jc w:val="both"/>
      </w:pPr>
      <w:r>
        <w:rPr>
          <w:rFonts w:ascii="Times New Roman" w:hAnsi="Times New Roman" w:cs="Times New Roman" w:eastAsia="Times New Roman"/>
          <w:b w:val="0"/>
          <w:i w:val="0"/>
          <w:sz w:val="28"/>
          <w:u w:val="none"/>
        </w:rPr>
        <w:t>Chapter 3 reports the experimental programme: the in-domain factorial contrast, the stage decomposition with its parameter sweeps, the direct measurement of source-to-target distance, the cross-corpus and external clinical transfer, the alignment of attention with expert annotation and the behaviour across camera groupings and in a data-scarce regime, and then the statistical validation, the placement of the results against published systems and the limitations bounding them. Chapter 4 describes the screening system built around the model, its architecture, its inference behaviour without acceleration hardware and its ingestion protocol, distinguishing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Five appendices follow: the source code of the preprocessing pipeline, supplementary results and confusion matrices, the system architecture with the working demonstrator, the attention-map gallery, and supplementary tables for the device evaluation.</w:t>
      </w:r>
    </w:p>
    <w:p>
      <w:pPr>
        <w:ind w:firstLine="709"/>
        <w:jc w:val="both"/>
      </w:pPr>
      <w:r>
        <w:rPr>
          <w:rFonts w:ascii="Times New Roman" w:hAnsi="Times New Roman" w:cs="Times New Roman" w:eastAsia="Times New Roman"/>
          <w:b w:val="0"/>
          <w:i w:val="0"/>
          <w:sz w:val="28"/>
          <w:u w:val="none"/>
        </w:rPr>
        <w:t>The dissertation is set out on 107 pages, excluding the appendices, and contains 19 tables and 16 figures. The list of references comprises 102 sources.</w:t>
      </w: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[6, 7]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[6]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[8] and Gettinger et al. [9]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[8]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[7],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[10] and Wang and Lo [8],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[7]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[3]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[7], and the national screening programme reported by Yesmukhamedov et al. [3]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[11]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[12] re-annotated nearly twenty-nine thousand images into three quality levels and found detection accuracy falling monotonically as quality declined. Zago et al. [13] report the same link holding across databases, and the production system of Dai et al. [14]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[15]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[16] reproduced the pipeline of Gulshan et al. [17]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[16]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[18]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[19],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[20], surveying the field, note that most statistical learning rests on an over-simplified assumption that source and target data are identically distributed, and that a learner trained only on source data typically suffers significant drops on an out-of-distribution target. Wang and Deng [21]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[22, 23, 24, 25], and the landmark demonstrations of expert-comparable grading [17] were built on such backbones rather than on retina-specific designs. Litjens et al. [26]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[27] reformulate each block to learn a residual function relative to its input through identity shortcuts, and Huang et al. [28] concatenate the outputs of all preceding layers, each addressing the degradation that otherwise sets in as depth increases. Tan and Le [29]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[30, 31, 32, 33, 34]. The heterogeneity is the analytically important fact: these figures establish that the architecture class is capable, not that any configuration is best. The same backbones transfer to adjacent tasks and modalities without those results being fundus grading [35, 36, 37].</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[38, 39, 40, 41, 42, 43].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[44, 45], and Cheplygina et al. [46]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[47] report that self-supervised pretraining on retinal images yields generalisable retinal representations, and Azizi et al. [48]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[49]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[50]. The gradient-based form of Selvaraju et al. [51] applies to essentially any convolutional architecture without retraining, which is why it became the default, and the refinement of Chattopadhyay et al. [52] alters how the gradients are weighted. Model-agnostic alternatives exist [53, 54].</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[55] and Tjoa and Guan [56]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[57]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[17] demonstrated that a deep network could detect referable disease at expert-comparable levels, reporting areas under the curve above 0.99 on two clinical validation sets, and the system of Abramoff et al. [58]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[59], cross-population validation in sub-Saharan Africa [60], multicentre validation across tens of thousands of images [61], and prospective evaluation inside a national screening programme [62]. Ting et al. [63] and Senapati et al. [64] review the field as a whole, and Wewetzer et al. [65]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[60]</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[67]</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[49]</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[3] found the deployed tools typically narrow or constrained: limited to one disease, requiring advanced imaging equipment, or dependent on continuous connectivity. Commercial systems are predominantly binary and opaque, and some high-performing models, such as that of Ryu et al. [68],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[16, 17], omitted from several deployment reports, and rarely isolated or formalised as a component of the model. The review of Senapati et al. [64]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[17, 64].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[69],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[70] weights the average by photometric similarity as well as spatial proximity, so pixels across an intensity boundary do not bleed into one another; non-local means [71]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 where conventional preprocessing raised validation accuracy substantially with a small convolutional network and an upgraded equalisation variant was studied on a different retinal database,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[49], benchmark studies report that image quality bears on grading reliability [12, 19], and enhancement studies report contrast operations helping or, for one architecture, harming classification [72, 73].</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[74]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[75]: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[74]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and the two literature records drawn from it describe one article, so they are a single self-cited thread rather than two confirmations.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[72],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[27]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[57],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[27], whose defining element is the identity shortcut. The second is a member of the compound-scaling family of Tan and Le [29],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[38, 40]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[76] prevents units from co-adapting into fragile jointly tuned detectors, and batch normalisation [77]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[78].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[79], robust to small batches and so suited to a single-device compute budget, with the alternatives of He et al. [80], Chen et al. [81], Chen and He [82] and Caron et al. [83] retained; Arrieta et al. [84]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[85] is a different response to the same gap and is not the one taken here. The published retinal foundation model of Zhou et al. [47]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[47] report that in-domain self-supervised pretraining on retinal images yields generalisable representations, and Azizi et al. [48] that in-domain medical pretraining can exceed natural-image transfer; Shurrab and Duwairi [86]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[87]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[88] with inverse-frequency class weighting, an alternative to the effective-number reweighting of Cui et al. [89],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[90] found only two of one hundred and seventy-three surveyed papers to be validation studies. Buda et al. [91]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[50].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[51]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[52]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[92], charging its denominator for attention spilling beyond the lesion as well as for lesion the attention fails to cover; Rezatofighi et al. [93]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[94],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[95],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[96],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[97]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[98],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[99] and the device corpora by Liu et al. [19] among others. IDRiD is documented by Porwal et al. [100]: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[61]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[101]</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[3]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[102]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[3] describes remain specification. Support for portable and smartphone-based capture, and operation within a distributed telemedicine service linked to a national health platform, are described there and are not realised here. Both are established modes of delivery in the wider record [7, 60, 63].</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[3]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[18]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keepNext/>
        <w:pageBreakBefore/>
        <w:spacing w:before="240" w:after="120"/>
        <w:jc w:val="center"/>
      </w:pPr>
      <w:r>
        <w:rPr>
          <w:rFonts w:ascii="Times New Roman" w:hAnsi="Times New Roman" w:cs="Times New Roman" w:eastAsia="Times New Roman"/>
          <w:b/>
          <w:i w:val="0"/>
          <w:sz w:val="32"/>
          <w:u w:val="none"/>
        </w:rPr>
        <w:t>LIST OF REFERENCES USED</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APPENDIX A</w:t>
      </w:r>
    </w:p>
    <w:p>
      <w:pPr>
        <w:keepNext/>
        <w:spacing w:before="0" w:after="240"/>
        <w:jc w:val="center"/>
      </w:pPr>
      <w:r>
        <w:rPr>
          <w:rFonts w:ascii="Times New Roman" w:hAnsi="Times New Roman" w:cs="Times New Roman" w:eastAsia="Times New Roman"/>
          <w:b/>
          <w:i w:val="0"/>
          <w:sz w:val="28"/>
          <w:u w:val="none"/>
        </w:rPr>
        <w:t>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w:t>
      </w:r>
    </w:p>
    <w:p>
      <w:pPr>
        <w:keepNext/>
        <w:spacing w:before="0" w:after="240"/>
        <w:jc w:val="center"/>
      </w:pPr>
      <w:r>
        <w:rPr>
          <w:rFonts w:ascii="Times New Roman" w:hAnsi="Times New Roman" w:cs="Times New Roman" w:eastAsia="Times New Roman"/>
          <w:b/>
          <w:i w:val="0"/>
          <w:sz w:val="28"/>
          <w:u w:val="none"/>
        </w:rPr>
        <w:t>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w:t>
      </w:r>
    </w:p>
    <w:p>
      <w:pPr>
        <w:keepNext/>
        <w:spacing w:before="0" w:after="240"/>
        <w:jc w:val="center"/>
      </w:pPr>
      <w:r>
        <w:rPr>
          <w:rFonts w:ascii="Times New Roman" w:hAnsi="Times New Roman" w:cs="Times New Roman" w:eastAsia="Times New Roman"/>
          <w:b/>
          <w:i w:val="0"/>
          <w:sz w:val="28"/>
          <w:u w:val="none"/>
        </w:rPr>
        <w:t>System architecture and the working demonstrator</w:t>
      </w:r>
    </w:p>
    <w:p>
      <w:pPr>
        <w:ind w:firstLine="709"/>
        <w:jc w:val="both"/>
      </w:pPr>
      <w:r>
        <w:rPr>
          <w:rFonts w:ascii="Times New Roman" w:hAnsi="Times New Roman" w:cs="Times New Roman" w:eastAsia="Times New Roman"/>
          <w:b w:val="0"/>
          <w:i w:val="0"/>
          <w:sz w:val="28"/>
          <w:u w:val="none"/>
        </w:rPr>
        <w:t>This appendix has two halves. The first gives the formal structural views of the screening-system architecture described in chapter 4: a component view, a deployment view, a sequence view of one screening episode, and the persisted data model. Together they discharge the system-architecture diagram reserved there. The second shows the working demonstrator in operation, so that the modules Table C.1 marks as built can be seen doing what the table says they do.</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C.5 The demonstrator in operation</w:t>
      </w:r>
    </w:p>
    <w:p>
      <w:pPr>
        <w:ind w:firstLine="709"/>
        <w:jc w:val="both"/>
      </w:pPr>
      <w:r>
        <w:rPr>
          <w:rFonts w:ascii="Times New Roman" w:hAnsi="Times New Roman" w:cs="Times New Roman" w:eastAsia="Times New Roman"/>
          <w:b w:val="0"/>
          <w:i w:val="0"/>
          <w:sz w:val="28"/>
          <w:u w:val="none"/>
        </w:rPr>
        <w:t>The three figures that follow are of the demonstrator rather than of the design. They are here because Table C.1 marks seven modules as built, and a table asserting it is worth less than the system doing it. Each is a capture of the client described in section 4.3, driving the inference service of section 4.2.</w:t>
      </w:r>
    </w:p>
    <w:p>
      <w:pPr>
        <w:ind w:firstLine="709"/>
        <w:jc w:val="both"/>
      </w:pPr>
      <w:r>
        <w:rPr>
          <w:rFonts w:ascii="Times New Roman" w:hAnsi="Times New Roman" w:cs="Times New Roman" w:eastAsia="Times New Roman"/>
          <w:b/>
          <w:i w:val="0"/>
          <w:sz w:val="28"/>
          <w:u w:val="none"/>
        </w:rPr>
        <w:t>(Figure C.1)</w:t>
      </w:r>
    </w:p>
    <w:p>
      <w:pPr>
        <w:keepNext/>
        <w:spacing w:before="120"/>
        <w:ind w:firstLine="0"/>
        <w:jc w:val="center"/>
      </w:pPr>
      <w:r>
        <w:drawing>
          <wp:inline xmlns:a="http://schemas.openxmlformats.org/drawingml/2006/main" xmlns:pic="http://schemas.openxmlformats.org/drawingml/2006/picture">
            <wp:extent cx="5940000" cy="5842435"/>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5940000" cy="58424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C.1 – The submission view, with a patient's two eyes accepted for grading and the preprocessing stages exposed beneath them</w:t>
      </w:r>
    </w:p>
    <w:p>
      <w:pPr>
        <w:ind w:firstLine="709"/>
        <w:jc w:val="both"/>
      </w:pPr>
      <w:r>
        <w:rPr>
          <w:rFonts w:ascii="Times New Roman" w:hAnsi="Times New Roman" w:cs="Times New Roman" w:eastAsia="Times New Roman"/>
          <w:b w:val="0"/>
          <w:i w:val="0"/>
          <w:sz w:val="28"/>
          <w:u w:val="none"/>
        </w:rPr>
        <w:t>Figure C.1 shows the Ingestion and Preprocessing Engine rows of Table C.1 in operation. Two images are submitted as one patient, right eye and left, and the panel beneath them steps through the stages of the pipeline for a selected eye, naming the channels each stage yields. The transform is therefore inspectable rather than implicit, which is the architectural position of this dissertation carried into the interface: preprocessing is part of the model and is shown as such, not hidden as preparation of the data.</w:t>
      </w:r>
    </w:p>
    <w:p>
      <w:pPr>
        <w:ind w:firstLine="709"/>
        <w:jc w:val="both"/>
      </w:pPr>
      <w:r>
        <w:rPr>
          <w:rFonts w:ascii="Times New Roman" w:hAnsi="Times New Roman" w:cs="Times New Roman" w:eastAsia="Times New Roman"/>
          <w:b/>
          <w:i w:val="0"/>
          <w:sz w:val="28"/>
          <w:u w:val="none"/>
        </w:rPr>
        <w:t>(Figure C.2)</w:t>
      </w:r>
    </w:p>
    <w:p>
      <w:pPr>
        <w:keepNext/>
        <w:spacing w:before="120"/>
        <w:ind w:firstLine="0"/>
        <w:jc w:val="center"/>
      </w:pPr>
      <w:r>
        <w:drawing>
          <wp:inline xmlns:a="http://schemas.openxmlformats.org/drawingml/2006/main" xmlns:pic="http://schemas.openxmlformats.org/drawingml/2006/picture">
            <wp:extent cx="5940000" cy="5842435"/>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5940000" cy="58424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C.2 – The result view, with the patient-level grade, the posterior over the five grades, the per-eye predictions and the review controls</w:t>
      </w:r>
    </w:p>
    <w:p>
      <w:pPr>
        <w:ind w:firstLine="709"/>
        <w:jc w:val="both"/>
      </w:pPr>
      <w:r>
        <w:rPr>
          <w:rFonts w:ascii="Times New Roman" w:hAnsi="Times New Roman" w:cs="Times New Roman" w:eastAsia="Times New Roman"/>
          <w:b w:val="0"/>
          <w:i w:val="0"/>
          <w:sz w:val="28"/>
          <w:u w:val="none"/>
        </w:rPr>
        <w:t>Figure C.2 shows the Inference and Decision-Support rows. The system returns a five-class grade at the level of the patient, with the posterior over all five grades, the referable determination and the per-eye predictions beneath it. The visualisation panel states its own limit — interpretability evidence, not clinical lesion localisation — and in this capture reports no overlay available, the attention map being generated from the checkpoint only when the service can produce one. The controls that follow put a verdict on the prediction to the clinician, which is the physician-in-the-loop ordering of Diagram C.3 in its realised form.</w:t>
      </w:r>
    </w:p>
    <w:p>
      <w:pPr>
        <w:ind w:firstLine="709"/>
        <w:jc w:val="both"/>
      </w:pPr>
      <w:r>
        <w:rPr>
          <w:rFonts w:ascii="Times New Roman" w:hAnsi="Times New Roman" w:cs="Times New Roman" w:eastAsia="Times New Roman"/>
          <w:b/>
          <w:i w:val="0"/>
          <w:sz w:val="28"/>
          <w:u w:val="none"/>
        </w:rPr>
        <w:t>(Figure C.3)</w:t>
      </w:r>
    </w:p>
    <w:p>
      <w:pPr>
        <w:keepNext/>
        <w:spacing w:before="120"/>
        <w:ind w:firstLine="0"/>
        <w:jc w:val="center"/>
      </w:pPr>
      <w:r>
        <w:drawing>
          <wp:inline xmlns:a="http://schemas.openxmlformats.org/drawingml/2006/main" xmlns:pic="http://schemas.openxmlformats.org/drawingml/2006/picture">
            <wp:extent cx="5940000" cy="5836795"/>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5940000" cy="583679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C.3 – The view after a recorded verdict, with the persisted case, the relabelling buffer and the totals read back from the case store</w:t>
      </w:r>
    </w:p>
    <w:p>
      <w:pPr>
        <w:ind w:firstLine="709"/>
        <w:jc w:val="both"/>
      </w:pPr>
      <w:r>
        <w:rPr>
          <w:rFonts w:ascii="Times New Roman" w:hAnsi="Times New Roman" w:cs="Times New Roman" w:eastAsia="Times New Roman"/>
          <w:b w:val="0"/>
          <w:i w:val="0"/>
          <w:sz w:val="28"/>
          <w:u w:val="none"/>
        </w:rPr>
        <w:t>Figure C.3 shows the Clinician Interface and Data-Management rows. A verdict is persisted against the case on the server and appended to a relabelling buffer that can be exported for retraining, and the totals beneath are read from the case store rather than from the browser session. This is the audit channel of Diagram C.4 in the form it was built: a local case store, with the links to hospital imaging and record systems still specification.</w:t>
      </w:r>
    </w:p>
    <w:p>
      <w:pPr>
        <w:keepNext/>
        <w:spacing w:before="120" w:after="120"/>
        <w:jc w:val="left"/>
      </w:pPr>
      <w:r>
        <w:rPr>
          <w:rFonts w:ascii="Times New Roman" w:hAnsi="Times New Roman" w:cs="Times New Roman" w:eastAsia="Times New Roman"/>
          <w:b/>
          <w:i w:val="0"/>
          <w:sz w:val="28"/>
          <w:u w:val="none"/>
        </w:rPr>
        <w:t>Status of these views</w:t>
      </w:r>
    </w:p>
    <w:p>
      <w:pPr>
        <w:ind w:firstLine="709"/>
        <w:jc w:val="both"/>
      </w:pPr>
      <w:r>
        <w:rPr>
          <w:rFonts w:ascii="Times New Roman" w:hAnsi="Times New Roman" w:cs="Times New Roman" w:eastAsia="Times New Roman"/>
          <w:b w:val="0"/>
          <w:i w:val="0"/>
          <w:sz w:val="28"/>
          <w:u w:val="none"/>
        </w:rPr>
        <w:t>Each of the four diagrams elaborates the decomposition of section 4.1, and each is traceable to it through Table C.1. None of them is evidence about behaviour. The three figures establish that the modules marked as built exist and what they do in operation, and nothing beyond that: they are not a measurement, no latency, throughput or reliability figure may be read from them, and the case counts visible in them are from a development session rather than from use. No field testing was conducted in any clinical setting, and nothing in this appendix carries a claim about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w:t>
      </w:r>
    </w:p>
    <w:p>
      <w:pPr>
        <w:keepNext/>
        <w:spacing w:before="0" w:after="240"/>
        <w:jc w:val="center"/>
      </w:pPr>
      <w:r>
        <w:rPr>
          <w:rFonts w:ascii="Times New Roman" w:hAnsi="Times New Roman" w:cs="Times New Roman" w:eastAsia="Times New Roman"/>
          <w:b/>
          <w:i w:val="0"/>
          <w:sz w:val="28"/>
          <w:u w:val="none"/>
        </w:rPr>
        <w:t>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These plates exist so that the reader can see what the measurement was made on, not so that the measurement can be re-made by eye.</w:t>
      </w:r>
    </w:p>
    <w:p>
      <w:pPr>
        <w:keepNext/>
        <w:spacing w:before="120" w:after="120"/>
        <w:jc w:val="left"/>
      </w:pPr>
      <w:r>
        <w:rPr>
          <w:rFonts w:ascii="Times New Roman" w:hAnsi="Times New Roman" w:cs="Times New Roman" w:eastAsia="Times New Roman"/>
          <w:b/>
          <w:i w:val="0"/>
          <w:sz w:val="28"/>
          <w:u w:val="none"/>
        </w:rPr>
        <w:t>D.2 The four plates, and how they were chosen</w:t>
      </w:r>
    </w:p>
    <w:p>
      <w:pPr>
        <w:ind w:firstLine="709"/>
        <w:jc w:val="both"/>
      </w:pPr>
      <w:r>
        <w:rPr>
          <w:rFonts w:ascii="Times New Roman" w:hAnsi="Times New Roman" w:cs="Times New Roman" w:eastAsia="Times New Roman"/>
          <w:b w:val="0"/>
          <w:i w:val="0"/>
          <w:sz w:val="28"/>
          <w:u w:val="none"/>
        </w:rPr>
        <w:t>Four plates are printed. Each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The four are a selection, and are declared as one. The annotated subset comprises 54 images, the measurement reported in section 3.6 was made over all 54, and the overlay was produced for every one of them; what is printed here illustrates what such a plate looks like and is not the material the measurement rests on. Two properties of the selection are stated so that the reader knows what it is not. The four images carry grades 4, 4, 2 and 2, so the selection is not confined to the severe end of the scale. And between them they carry every one of the four annotated lesion types: two are annotated for all four, and two for three of them, soft exudates being annotated on 26 of the 54.</w:t>
      </w:r>
    </w:p>
    <w:p>
      <w:pPr>
        <w:ind w:firstLine="709"/>
        <w:jc w:val="both"/>
      </w:pPr>
      <w:r>
        <w:rPr>
          <w:rFonts w:ascii="Times New Roman" w:hAnsi="Times New Roman" w:cs="Times New Roman" w:eastAsia="Times New Roman"/>
          <w:b w:val="0"/>
          <w:i w:val="0"/>
          <w:sz w:val="28"/>
          <w:u w:val="none"/>
        </w:rPr>
        <w:t>No property of the aggregate may be read off four plates, and none is asserted from them. A reader who wants the aggregate has it in section 3.6, with its interval estimates and its threshold sweep, and in Appendix B.</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One further property of the subset is recorded here because it bounds what any plate can show. On 6 of the 54 images neither configuration's attention meets the annotation at the operating threshold, leaving 48 informative pairs. That is a property of the subset the measurement was made on, and it holds whether or not such an image is among the four printed here.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Plates</w:t>
      </w:r>
    </w:p>
    <w:p>
      <w:pPr>
        <w:ind w:firstLine="709"/>
        <w:jc w:val="both"/>
      </w:pPr>
      <w:r>
        <w:rPr>
          <w:rFonts w:ascii="Times New Roman" w:hAnsi="Times New Roman" w:cs="Times New Roman" w:eastAsia="Times New Roman"/>
          <w:b w:val="0"/>
          <w:i w:val="0"/>
          <w:sz w:val="28"/>
          <w:u w:val="none"/>
        </w:rPr>
        <w:t>The plates follow. Each is resolved to its image during document conversion, and each caption names the image it was produced from, so a plate can be matched against the run outputs.</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8ff5ac19c34f.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4297d913b3a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e063dd8ad43a.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c0dbc9818ba3.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IDRiD_050,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w:t>
      </w:r>
    </w:p>
    <w:p>
      <w:pPr>
        <w:keepNext/>
        <w:spacing w:before="0" w:after="240"/>
        <w:jc w:val="center"/>
      </w:pPr>
      <w:r>
        <w:rPr>
          <w:rFonts w:ascii="Times New Roman" w:hAnsi="Times New Roman" w:cs="Times New Roman" w:eastAsia="Times New Roman"/>
          <w:b/>
          <w:i w:val="0"/>
          <w:sz w:val="28"/>
          <w:u w:val="none"/>
        </w:rPr>
        <w:t>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36"/>
      <w:footerReference w:type="first" r:id="rId37"/>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