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problem domain and formulate the research problem: the clinical grading of the disease, the screening requirements of resource-limited settings, the sources and measured impact of fundus image quality loss and its device-specific component, and the methodological practice of existing automated screening systems (Chapter 1).</w:t>
      </w:r>
    </w:p>
    <w:p>
      <w:pPr>
        <w:ind w:left="709" w:hanging="397"/>
        <w:jc w:val="both"/>
      </w:pPr>
      <w:r>
        <w:rPr>
          <w:rFonts w:ascii="Times New Roman" w:hAnsi="Times New Roman" w:cs="Times New Roman" w:eastAsia="Times New Roman"/>
          <w:b w:val="0"/>
          <w:i w:val="0"/>
          <w:sz w:val="28"/>
          <w:u w:val="none"/>
        </w:rPr>
        <w:t>2.</w:t>
        <w:tab/>
        <w:t>To specify the integrated preprocessing-CNN methodology: the 8-stage pipeline stage by stage with the theoretical foundations of each (histogram equalisation and the dual-constraint CLAHE clip limit, spatial filtering, illumination correction), the classification architectures (ResNet-50, EfficientNet-B3) and their adaptation to five-class grading, the pretraining and fine-tuning strategy, the explainability formalism (Grad-CAM, ALO, IoU), and the evaluation and statistical protocol (Chapter 2).</w:t>
      </w:r>
    </w:p>
    <w:p>
      <w:pPr>
        <w:ind w:left="709" w:hanging="397"/>
        <w:jc w:val="both"/>
      </w:pPr>
      <w:r>
        <w:rPr>
          <w:rFonts w:ascii="Times New Roman" w:hAnsi="Times New Roman" w:cs="Times New Roman" w:eastAsia="Times New Roman"/>
          <w:b w:val="0"/>
          <w:i w:val="0"/>
          <w:sz w:val="28"/>
          <w:u w:val="none"/>
        </w:rPr>
        <w:t>3.</w:t>
        <w:tab/>
        <w:t>To evaluate the framework experimentally through eight investigations conducted on a common substrate — integrated-pipeline dominance under a 2×2 factorial design (Experiment 1); cumulative component ablation with the CLAHE and flat-field parameter sweeps (Experiment 2); direct measurement of source-to-target distance in feature space across six external corpora; cross-dataset transferability (Experiment 3); Grad-CAM explainability against expert lesion annotation (Experiment 4); external clinical performance (Experiment 5); device domain shift (Experiment 6); and training in a data-scarce regime (Experiment 7) — together with the statistical validation, the comparative placement of the results, and the limitations and boundary conditions of the approach (Chapter 3).</w:t>
      </w:r>
    </w:p>
    <w:p>
      <w:pPr>
        <w:ind w:left="709" w:hanging="397"/>
        <w:jc w:val="both"/>
      </w:pPr>
      <w:r>
        <w:rPr>
          <w:rFonts w:ascii="Times New Roman" w:hAnsi="Times New Roman" w:cs="Times New Roman" w:eastAsia="Times New Roman"/>
          <w:b w:val="0"/>
          <w:i w:val="0"/>
          <w:sz w:val="28"/>
          <w:u w:val="none"/>
        </w:rPr>
        <w:t>4.</w:t>
        <w:tab/>
        <w:t>To build and describe a screening system around the model, suited to settings without inference acceleration and with intermittent connectivity, with telemedicine and eHealth integration applicable to Kazakhstan healthcare infrastructure, and to state what of it exists and what remains specification (Chapter 4).</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realised in part as a working demonstrator, which establishes realisability and operating behaviour and is evidence for no diagnostic claim — no clinical deployment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investigations approach only through its consequence — in direction only, since the magnitude of a distance reduction does not track the magnitude of any performance gain.</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 higher absolute external performance, not resistance to degradation); performance was maintained across all five camera groupings with their dispersion reduced (Experiment 6);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and a working demonstrator of it was built and deployed: it runs the preprocessing pipeline and the trained classifier end to end, produces attention maps, and keeps a per-case record including the reviewing ophthalmologist's verdict. The demonstrator establishes that the design is realisable and what it does in operation; the deployment-oriented parts it does not realise remain specification, and no clinical deployment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realised in part as a working demonstrator. </w:t>
      </w:r>
      <w:r>
        <w:rPr>
          <w:rFonts w:ascii="Times New Roman" w:hAnsi="Times New Roman" w:cs="Times New Roman" w:eastAsia="Times New Roman"/>
          <w:b w:val="0"/>
          <w:i/>
          <w:sz w:val="28"/>
          <w:u w:val="none"/>
        </w:rPr>
        <w:t>Submitted as theoretical and design contributions respectively — the model is not clinically validated; the demonstrator establishes realisability and operating behaviour and is evidence for no diagnostic claim; the deployment-oriented parts of the architecture remain specification, and no field testing was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A working demonstrator of the architecture is deployed and performs inference on submitted images, which establishes that the design is realisable and what it does in operation; the deployment-oriented parts it does not realise — PACS integration, EHR interoperability, telemedicine operation — remain design specifications, no deployment was tested clinically, and the data-protection provisions are alignment by design rather than certified compliance. The system is conceived as decision support in which the clinician retains the diagnosis and the responsibility for it; nothing here is offered as a standalone diagnostic instrument.</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five works are listed below.</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2025.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"Automated diabetic retinopathy screening"</w:t>
      </w:r>
      <w:r>
        <w:rPr>
          <w:rFonts w:ascii="Times New Roman" w:hAnsi="Times New Roman" w:cs="Times New Roman" w:eastAsia="Times New Roman"/>
          <w:b w:val="0"/>
          <w:i w:val="0"/>
          <w:sz w:val="28"/>
          <w:u w:val="none"/>
        </w:rPr>
        <w:t xml:space="preserve"> establishes the clinical and technical context of screening: the ordinal five-class grading of the disease and the clinical cost of a misgrading, the screening requirements of resource-limited settings, the physics of laser coagulation as bounded theoretical context for referral, the sources of fundus image quality loss and its device-specific component, what the field has achieved with convolutional networks (architectures, transfer and self-supervised pretraining, explainability), and a critical analysis of existing automated screening systems and the conditions that bound their reported figures,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"Methodology of the integrated pipeline"</w:t>
      </w:r>
      <w:r>
        <w:rPr>
          <w:rFonts w:ascii="Times New Roman" w:hAnsi="Times New Roman" w:cs="Times New Roman" w:eastAsia="Times New Roman"/>
          <w:b w:val="0"/>
          <w:i w:val="0"/>
          <w:sz w:val="28"/>
          <w:u w:val="none"/>
        </w:rPr>
        <w:t xml:space="preserve"> specifies the integrated methodology. It formalises the 8-stage preprocessing pipeline stage by stage together with the theoretical foundations of each — canonical orientation and landmark-based rotation normalisation, isotropic resize with centred padding, the field-of-view mask as a fourth input channel, adaptive flat-field correction scaled to per-image geometry, and the dual-constraint clip limit of the CLAHE stage, formalised as the minimum of a histogram-relative and a tile-relative constraint and applied stochastically at training time. It then specifies the classification architectures (ResNet-50 and EfficientNet-B3) and their adaptation to five-class grading with the weighted (Focal) loss, the pretraining and fine-tuning strategy with its frozen-backbone linear-probe acceptance gate, the explainability formalism (Grad-CAM, the Attention–Lesion Overlap metric, IoU) with the image-quality measures, and the evaluation hierarchy and statistical protocol.</w:t>
      </w:r>
    </w:p>
    <w:p>
      <w:pPr>
        <w:ind w:firstLine="709"/>
        <w:jc w:val="both"/>
      </w:pPr>
      <w:r>
        <w:rPr>
          <w:rFonts w:ascii="Times New Roman" w:hAnsi="Times New Roman" w:cs="Times New Roman" w:eastAsia="Times New Roman"/>
          <w:b/>
          <w:i w:val="0"/>
          <w:sz w:val="28"/>
          <w:u w:val="none"/>
        </w:rPr>
        <w:t>Chapter 3 — "Experimental results"</w:t>
      </w:r>
      <w:r>
        <w:rPr>
          <w:rFonts w:ascii="Times New Roman" w:hAnsi="Times New Roman" w:cs="Times New Roman" w:eastAsia="Times New Roman"/>
          <w:b w:val="0"/>
          <w:i w:val="0"/>
          <w:sz w:val="28"/>
          <w:u w:val="none"/>
        </w:rPr>
        <w:t xml:space="preserve"> reports the experimental programme on the tiered corpus: the datasets and experimental configuration; the effect of the pipeline on accuracy under the 2×2 factorial design (Experiment 1); the cumulative stage ablation with the CLAHE clip-limit and flat-field σ sweeps (Experiment 2); the direct measurement of source-to-target distance in penultimate-layer feature space across six external corpora; cross-dataset transfer to APTOS 2019 and external clinical evaluation on IDRiD and Messidor-2 (Experiments 3 and 5), with behaviour across camera groupings (Experiment 6); the agreement of attention maps with expert pixel-level lesion annotation (Experiment 4); training on small clinical samples (Experiment 7); and the statistical validation and the comparative placement of the results against published systems without ranking among them, closing with the limitations and boundary conditions of the approach.</w:t>
      </w:r>
    </w:p>
    <w:p>
      <w:pPr>
        <w:ind w:firstLine="709"/>
        <w:jc w:val="both"/>
      </w:pPr>
      <w:r>
        <w:rPr>
          <w:rFonts w:ascii="Times New Roman" w:hAnsi="Times New Roman" w:cs="Times New Roman" w:eastAsia="Times New Roman"/>
          <w:b/>
          <w:i w:val="0"/>
          <w:sz w:val="28"/>
          <w:u w:val="none"/>
        </w:rPr>
        <w:t>Chapter 4 — "The screening system"</w:t>
      </w:r>
      <w:r>
        <w:rPr>
          <w:rFonts w:ascii="Times New Roman" w:hAnsi="Times New Roman" w:cs="Times New Roman" w:eastAsia="Times New Roman"/>
          <w:b w:val="0"/>
          <w:i w:val="0"/>
          <w:sz w:val="28"/>
          <w:u w:val="none"/>
        </w:rPr>
        <w:t xml:space="preserve"> describes the screening system built around the model, distinguishing throughout what was realised from what remains specification: the modular architecture and its modules, the preprocessing and inference services with their interface, the clinical workflow and the operator interface in which the ophthalmologist reviews and records a verdict, and the deployment envelope and data-protection framework (GDPR/HIPAA-aligned by design), with the applicability to Kazakhstan healthcare infrastructure bounded by the absence of field testing there.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four chapters, a conclusion, a list of references used, and five appendices (A–E): the source code of the preprocessing pipeline, supplementary experimental results and confusion matrices, the system architecture with the working demonstrator,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118 pages, and contains 19 tables and 16 figures. The list of references comprises 102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