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709"/>
        <w:jc w:val="both"/>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представленной на соискание степени доктора философии (PhD) по образовательной программе 8D06102 — Компьютерная и программная инженерия</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Общая характеристика исследования</w:t>
      </w:r>
    </w:p>
    <w:p>
      <w:pPr>
        <w:ind w:firstLine="709"/>
        <w:jc w:val="both"/>
      </w:pPr>
      <w:r>
        <w:rPr>
          <w:rFonts w:ascii="Times New Roman" w:hAnsi="Times New Roman" w:cs="Times New Roman" w:eastAsia="Times New Roman"/>
          <w:b w:val="0"/>
          <w:i w:val="0"/>
          <w:sz w:val="28"/>
          <w:u w:val="none"/>
        </w:rPr>
        <w:t>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операционализации этой идеи специфицирован и встроен в модель 8-этапный конвейер предобработки, а его эффект подвергнут контролируемому экспериментальному сопоставлению с эквивалентной базовой конфигурацией, обученной без конвейера. Подход валидирован на восьми публичных и клинических наборах изображений глазного дна, полученных камерами четырёх производителей, и охватывает доминирование по качеству диагностики, абляцию компонентов, прямое измерение сокращения доменного сдвига, межнаборный перенос, интерпретируемость, внешнее клиническое качество и доменный сдвиг по устройствам; он ориентирован на автоматизированный скрининг ДР в условиях ограниченных ресурсов, включая инфраструктуру здравоохранения Казахстана.</w:t>
      </w:r>
    </w:p>
    <w:p>
      <w:pPr>
        <w:keepNext/>
        <w:spacing w:before="240" w:after="120"/>
        <w:jc w:val="left"/>
      </w:pPr>
      <w:r>
        <w:rPr>
          <w:rFonts w:ascii="Times New Roman" w:hAnsi="Times New Roman" w:cs="Times New Roman" w:eastAsia="Times New Roman"/>
          <w:b/>
          <w:i w:val="0"/>
          <w:sz w:val="28"/>
          <w:u w:val="none"/>
        </w:rPr>
        <w:t>Актуальность темы исследования</w:t>
      </w:r>
    </w:p>
    <w:p>
      <w:pPr>
        <w:ind w:firstLine="709"/>
        <w:jc w:val="both"/>
      </w:pPr>
      <w:r>
        <w:rPr>
          <w:rFonts w:ascii="Times New Roman" w:hAnsi="Times New Roman" w:cs="Times New Roman" w:eastAsia="Times New Roman"/>
          <w:b w:val="0"/>
          <w:i w:val="0"/>
          <w:sz w:val="28"/>
          <w:u w:val="none"/>
        </w:rPr>
        <w:t>Диабетическая ретинопатия (ДР) является одной из ведущих причин предотвратимой слепоты среди населения трудоспособного возраста. Поскольку ранние стадии ДР протекают клинически бессимптомно, своевременное выявление заболевания зависит от регулярного скрининга изображений глазного дна. Однако число офтальмологов недостаточно для ручного обследования быстро растущего числа пациентов с диабетом — этот дефицит особенно ощутим в условиях ограниченных ресурсов здравоохранения и в сельских регионах, в том числе в регионах Казахстана. В связи с этим автоматизированная диагностика на основе свёрточных нейронных сетей (CNN) представляет собой практически значимое направление исследований.</w:t>
      </w:r>
    </w:p>
    <w:p>
      <w:pPr>
        <w:ind w:firstLine="709"/>
        <w:jc w:val="both"/>
      </w:pPr>
      <w:r>
        <w:rPr>
          <w:rFonts w:ascii="Times New Roman" w:hAnsi="Times New Roman" w:cs="Times New Roman" w:eastAsia="Times New Roman"/>
          <w:b w:val="0"/>
          <w:i w:val="0"/>
          <w:sz w:val="28"/>
          <w:u w:val="none"/>
        </w:rPr>
        <w:t xml:space="preserve">Доминирующая традиция в автоматизированной диагностике ДР — обозначаемая здесь как парадигма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парадигма «сквозной» (end-to-end) CNN — рассматривает предварительную обработку изображений как вспомогательную подготовку данных, не требующую методологического обсуждения, исходя из предположения, что достаточно глубокая сеть самостоятельно усваивает необходимые инварианты непосредственно из «сырых» или минимально нормализованных пикселей. Однако на практике изображения глазного дна, полученные разными камерами, при разных условиях освещения и с разным уровнем шума, демонстрируют существенную доменную вариабельность. Эта вариабельность проявляется как сдвиг распределения (distribution shift) в пространстве входных признаков и ухудшает обобщающую способность CNN-моделей, обученных в одном домене, при их применении в другом. Методологический пробел, мотивирующий настоящую диссертацию, заключается в отсутствии формализованного, экспериментально контролируемого рассмотрения предварительной обработки как неотъемлемого компонента диагностической модели.</w:t>
      </w:r>
    </w:p>
    <w:p>
      <w:pPr>
        <w:ind w:firstLine="709"/>
        <w:jc w:val="both"/>
      </w:pPr>
      <w:r>
        <w:rPr>
          <w:rFonts w:ascii="Times New Roman" w:hAnsi="Times New Roman" w:cs="Times New Roman" w:eastAsia="Times New Roman"/>
          <w:b w:val="0"/>
          <w:i w:val="0"/>
          <w:sz w:val="28"/>
          <w:u w:val="none"/>
        </w:rPr>
        <w:t xml:space="preserve">В работе развивается альтернативная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парадигма интегрированной системы «предобработка–CNN», в которой предобработка является неотъемлемым компонентом самой модели, поскольку она определяет пространство признаков, доступное сети, и тем самым со-определяет то, чему сеть способна научиться. Актуальность темы вытекает из необходимости снижения межприборной и межсъёмочной доменной вариабельности при сохранении диагностически значимых признаков сетчатки, причём в условиях вычислительных ограничений, характерных для реальных сред скрининга.</w:t>
      </w:r>
    </w:p>
    <w:p>
      <w:pPr>
        <w:keepNext/>
        <w:spacing w:before="240" w:after="120"/>
        <w:jc w:val="left"/>
      </w:pPr>
      <w:r>
        <w:rPr>
          <w:rFonts w:ascii="Times New Roman" w:hAnsi="Times New Roman" w:cs="Times New Roman" w:eastAsia="Times New Roman"/>
          <w:b/>
          <w:i w:val="0"/>
          <w:sz w:val="28"/>
          <w:u w:val="none"/>
        </w:rPr>
        <w:t>Цель исследования</w:t>
      </w:r>
    </w:p>
    <w:p>
      <w:pPr>
        <w:ind w:firstLine="709"/>
        <w:jc w:val="both"/>
      </w:pPr>
      <w:r>
        <w:rPr>
          <w:rFonts w:ascii="Times New Roman" w:hAnsi="Times New Roman" w:cs="Times New Roman" w:eastAsia="Times New Roman"/>
          <w:b w:val="0"/>
          <w:i w:val="0"/>
          <w:sz w:val="28"/>
          <w:u w:val="none"/>
        </w:rPr>
        <w:t>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многостадийной диагностики диабетической ретинопатии, в которой 8-этапный конвейер предварительной обработки специфицирован как неотъемлемый компонент модели, а не как подготовка данных, и установить — в контролируемом сопоставлении с эквивалентной конфигурацией, обученной без данного конвейера, — какую разницу эта спецификация создаёт для качества пятиклассовой диагностики, для переносимости и для интерпретируемости получаемой модели в условиях ограниченных вычислительных ресурсов.</w:t>
      </w:r>
    </w:p>
    <w:p>
      <w:pPr>
        <w:keepNext/>
        <w:spacing w:before="240" w:after="120"/>
        <w:jc w:val="left"/>
      </w:pPr>
      <w:r>
        <w:rPr>
          <w:rFonts w:ascii="Times New Roman" w:hAnsi="Times New Roman" w:cs="Times New Roman" w:eastAsia="Times New Roman"/>
          <w:b/>
          <w:i w:val="0"/>
          <w:sz w:val="28"/>
          <w:u w:val="none"/>
        </w:rPr>
        <w:t>Задачи исследования</w:t>
      </w:r>
    </w:p>
    <w:p>
      <w:pPr>
        <w:ind w:left="709" w:hanging="397"/>
        <w:jc w:val="both"/>
      </w:pPr>
      <w:r>
        <w:rPr>
          <w:rFonts w:ascii="Times New Roman" w:hAnsi="Times New Roman" w:cs="Times New Roman" w:eastAsia="Times New Roman"/>
          <w:b w:val="0"/>
          <w:i w:val="0"/>
          <w:sz w:val="28"/>
          <w:u w:val="none"/>
        </w:rPr>
        <w:t>1.</w:t>
        <w:tab/>
        <w:t>Проанализировать проблемную область и сформулировать научную проблему: клиническую градацию заболевания, требования к скринингу в условиях ограниченных ресурсов, источники и измеренное влияние потери качества изображений глазного дна и её приборную составляющую, а также методологическую практику существующих автоматизированных систем скрининга (Глава 1).</w:t>
      </w:r>
    </w:p>
    <w:p>
      <w:pPr>
        <w:ind w:left="709" w:hanging="397"/>
        <w:jc w:val="both"/>
      </w:pPr>
      <w:r>
        <w:rPr>
          <w:rFonts w:ascii="Times New Roman" w:hAnsi="Times New Roman" w:cs="Times New Roman" w:eastAsia="Times New Roman"/>
          <w:b w:val="0"/>
          <w:i w:val="0"/>
          <w:sz w:val="28"/>
          <w:u w:val="none"/>
        </w:rPr>
        <w:t>2.</w:t>
        <w:tab/>
        <w:t>Специфицировать методологию интегрированной системы «предобработка–CNN»: 8-этапный конвейер поэтапно с теоретическими основаниями каждого этапа (эквализация гистограммы и порог CLAHE с двойным ограничением, пространственная фильтрация, коррекция освещённости), архитектуры классификации (ResNet-50, EfficientNet-B3) и их адаптацию к пятиклассовой градации, стратегию предобучения и дообучения, аппарат интерпретируемости (Grad-CAM, ALO, IoU), а также протокол оценивания и статистической проверки (Глава 2).</w:t>
      </w:r>
    </w:p>
    <w:p>
      <w:pPr>
        <w:ind w:left="709" w:hanging="397"/>
        <w:jc w:val="both"/>
      </w:pPr>
      <w:r>
        <w:rPr>
          <w:rFonts w:ascii="Times New Roman" w:hAnsi="Times New Roman" w:cs="Times New Roman" w:eastAsia="Times New Roman"/>
          <w:b w:val="0"/>
          <w:i w:val="0"/>
          <w:sz w:val="28"/>
          <w:u w:val="none"/>
        </w:rPr>
        <w:t>3.</w:t>
        <w:tab/>
        <w:t>Экспериментально оценить интегрированный конвейер посредством восьми исследований, выполненных на общей основе, — доминирование интегрированного конвейера в факторном плане 2×2 (Эксперимент 1); кумулятивная компонентная абляция со свипами параметров CLAHE и flat-field-коррекции (Эксперимент 2); прямое измерение расстояния «источник—цель» в пространстве признаков на шести внешних корпусах; межнаборная переносимость (Эксперимент 3); интерпретируемость Grad-CAM относительно экспертной разметки очагов (Эксперимент 4); внешнее клиническое качество (Эксперимент 5); доменный сдвиг по устройствам (Эксперимент 6) и обучение в режиме дефицита данных (Эксперимент 7) — вместе со статистической валидацией, помещением результатов в контекст опубликованных систем, а также ограничениями и граничными условиями подхода (Глава 3).</w:t>
      </w:r>
    </w:p>
    <w:p>
      <w:pPr>
        <w:ind w:left="709" w:hanging="397"/>
        <w:jc w:val="both"/>
      </w:pPr>
      <w:r>
        <w:rPr>
          <w:rFonts w:ascii="Times New Roman" w:hAnsi="Times New Roman" w:cs="Times New Roman" w:eastAsia="Times New Roman"/>
          <w:b w:val="0"/>
          <w:i w:val="0"/>
          <w:sz w:val="28"/>
          <w:u w:val="none"/>
        </w:rPr>
        <w:t>4.</w:t>
        <w:tab/>
        <w:t>Построить и описать систему скрининга вокруг модели, пригодную для сред без ускорителей инференса и с прерывистой связностью, с интеграцией телемедицины и электронного здравоохранения, применимую к инфраструктуре здравоохранения Казахстана, и разграничить в ней реализованное и оставшееся спецификацией (Глава 4).</w:t>
      </w:r>
    </w:p>
    <w:p>
      <w:pPr>
        <w:keepNext/>
        <w:spacing w:before="240" w:after="120"/>
        <w:jc w:val="left"/>
      </w:pPr>
      <w:r>
        <w:rPr>
          <w:rFonts w:ascii="Times New Roman" w:hAnsi="Times New Roman" w:cs="Times New Roman" w:eastAsia="Times New Roman"/>
          <w:b/>
          <w:i w:val="0"/>
          <w:sz w:val="28"/>
          <w:u w:val="none"/>
        </w:rPr>
        <w:t>Объект исследования</w:t>
      </w:r>
    </w:p>
    <w:p>
      <w:pPr>
        <w:ind w:firstLine="709"/>
        <w:jc w:val="both"/>
      </w:pPr>
      <w:r>
        <w:rPr>
          <w:rFonts w:ascii="Times New Roman" w:hAnsi="Times New Roman" w:cs="Times New Roman" w:eastAsia="Times New Roman"/>
          <w:b w:val="0"/>
          <w:i w:val="0"/>
          <w:sz w:val="28"/>
          <w:u w:val="none"/>
        </w:rPr>
        <w:t>Процесс автоматизированной многостадийной диагностики диабетической ретинопатии по цветным изображениям глазного дна с использованием свёрточных нейронных сетей. Процесс изучается целиком — от изображения в том виде, в каком оно выходит из камеры, до пятиклассовой степени тяжести, присваиваемой моделью, — а не в одном лишь шаге классификации.</w:t>
      </w:r>
    </w:p>
    <w:p>
      <w:pPr>
        <w:keepNext/>
        <w:spacing w:before="240" w:after="120"/>
        <w:jc w:val="left"/>
      </w:pPr>
      <w:r>
        <w:rPr>
          <w:rFonts w:ascii="Times New Roman" w:hAnsi="Times New Roman" w:cs="Times New Roman" w:eastAsia="Times New Roman"/>
          <w:b/>
          <w:i w:val="0"/>
          <w:sz w:val="28"/>
          <w:u w:val="none"/>
        </w:rPr>
        <w:t>Предмет исследования</w:t>
      </w:r>
    </w:p>
    <w:p>
      <w:pPr>
        <w:ind w:firstLine="709"/>
        <w:jc w:val="both"/>
      </w:pPr>
      <w:r>
        <w:rPr>
          <w:rFonts w:ascii="Times New Roman" w:hAnsi="Times New Roman" w:cs="Times New Roman" w:eastAsia="Times New Roman"/>
          <w:b w:val="0"/>
          <w:i w:val="0"/>
          <w:sz w:val="28"/>
          <w:u w:val="none"/>
        </w:rPr>
        <w:t>Методы и модели интеграции предварительной обработки (улучшения) изображений глазного дна с классификацией на основе CNN, а также свойства, которые обнаруживает получаемая интегрированная конфигурация: качество диагностики при пятиклассовой градации, переносимость на корпуса, не виденные при обучении, согласованность внимания модели с экспертной разметкой патологии и поведение при смене доменов камер. Манипулируемым является именно интеграция, а не предобработка, взятая отдельно от сети, которую она питает.</w:t>
      </w:r>
    </w:p>
    <w:p>
      <w:pPr>
        <w:keepNext/>
        <w:spacing w:before="240" w:after="120"/>
        <w:jc w:val="left"/>
      </w:pPr>
      <w:r>
        <w:rPr>
          <w:rFonts w:ascii="Times New Roman" w:hAnsi="Times New Roman" w:cs="Times New Roman" w:eastAsia="Times New Roman"/>
          <w:b/>
          <w:i w:val="0"/>
          <w:sz w:val="28"/>
          <w:u w:val="none"/>
        </w:rPr>
        <w:t>Методология и методы исследования</w:t>
      </w:r>
    </w:p>
    <w:p>
      <w:pPr>
        <w:ind w:firstLine="709"/>
        <w:jc w:val="both"/>
      </w:pPr>
      <w:r>
        <w:rPr>
          <w:rFonts w:ascii="Times New Roman" w:hAnsi="Times New Roman" w:cs="Times New Roman" w:eastAsia="Times New Roman"/>
          <w:b w:val="0"/>
          <w:i w:val="0"/>
          <w:sz w:val="28"/>
          <w:u w:val="none"/>
        </w:rPr>
        <w:t>Методология исследования сочетает теорию обработки изображений, теорию глубокого обучения и экспериментально контролируемую систему валидации. Использованные методы включают: локализацию диска зрительного нерва и фовеа для нормализации поворота предобученным замороженным детектором на основе регрессии тепловых карт, который не обучается совместно с классификатором, так что предобработка остаётся фиксированным преобразованием; изотропное масштабирование с центрированным дополнением нулями, сохраняющее геометрию круга глазного дна вместо её искажения до фиксированных пропорций; адаптивную коррекцию неравномерности освещения (flat-field correction), применяемую только внутри маски FOV, CLAHE с двойным ограничением порога в цветовом пространстве LAB, классификацию на основе CNN с backbone-архитектурами ResNet-50 и EfficientNet-B3, перенос знаний с ImageNet для базовой ветви и внутридоменное предобучение для интегрированной ветви — при этом выбор между конкурирующими инициализациями решается приёмочным шлюзом линейного зонда с замороженным backbone, а не постулируется, — Focal Loss для компенсации дисбаланса классов, анализ интерпретируемости Grad-CAM с метриками перекрытия «внимание—очаг» (первичная) и IoU (вторичная), максимальное среднее расхождение (MMD) по признакам предпоследнего слоя для прямого измерения доменного сдвига (с дивергенцией поканальных гистограмм в качестве информационного контекста), а также статистическую систему валидации на основе 5-кратной перекрёстной проверки со стратификацией на уровне пациента, тестов Макнемара и ДеЛонга, моделей со смешанными эффектами, бутстреп-доверительных интервалов и поправок Бонферрони/Холма для множественных сравнений.</w:t>
      </w:r>
    </w:p>
    <w:p>
      <w:pPr>
        <w:keepNext/>
        <w:spacing w:before="240" w:after="120"/>
        <w:jc w:val="left"/>
      </w:pPr>
      <w:r>
        <w:rPr>
          <w:rFonts w:ascii="Times New Roman" w:hAnsi="Times New Roman" w:cs="Times New Roman" w:eastAsia="Times New Roman"/>
          <w:b/>
          <w:i w:val="0"/>
          <w:sz w:val="28"/>
          <w:u w:val="none"/>
        </w:rPr>
        <w:t>Эмпирическая (экспериментальная) база</w:t>
      </w:r>
    </w:p>
    <w:p>
      <w:pPr>
        <w:ind w:firstLine="709"/>
        <w:jc w:val="both"/>
      </w:pPr>
      <w:r>
        <w:rPr>
          <w:rFonts w:ascii="Times New Roman" w:hAnsi="Times New Roman" w:cs="Times New Roman" w:eastAsia="Times New Roman"/>
          <w:b w:val="0"/>
          <w:i w:val="0"/>
          <w:sz w:val="28"/>
          <w:u w:val="none"/>
        </w:rPr>
        <w:t>Восемь наборов данных, организованных в функциональные уровни: EyePACS (~35 126 размеченных изображений, основное обучение и абляция, Canon CR-1), второй, неразмеченный срез которого (~53 576 изображений) служит внутридоменным корпусом предобучения интегрированной ветви и не пересекается с оценочным ни по изображениям, ни по пациентам; APTOS 2019 (~3 662, межнаборный перенос); IDRiD (516 изображений, 81 с пиксельными масками очагов, клиническая валидация и интерпретируемость, Kowa); Messidor-2 (~1 748, внешняя клиническая оценка, Topcon); DDR (~13 673, сдвиг по устройствам, Canon/Topcon); ODIR-5K (~5 000, сдвиг по устройствам, Canon/Zeiss); RFMiD (~3 200, сдвиг по устройствам, Topcon/Kowa); и казахстанский клинический набор (60 изображений, 30 пациентов × 2 глаза, сбалансированный по степеням тяжести, обучение в режиме дефицита данных), который происходит из частных медицинских центров и не подлежит перераспространению, вследствие чего зависящие от него результаты не воспроизводимы внешними исследователями. Наборы для оценки доменного сдвига, размеченные в многозаболеваемых таксономиях, используются только как источники меток ДР. Качество изображений оценивается метриками отношения контраст/шум (CNR), энтропии изображения и SSIM; результаты по разным корпусам приводятся раздельно и никогда не агрегируются в единый показатель.</w:t>
      </w:r>
    </w:p>
    <w:p>
      <w:pPr>
        <w:keepNext/>
        <w:spacing w:before="240" w:after="120"/>
        <w:jc w:val="left"/>
      </w:pPr>
      <w:r>
        <w:rPr>
          <w:rFonts w:ascii="Times New Roman" w:hAnsi="Times New Roman" w:cs="Times New Roman" w:eastAsia="Times New Roman"/>
          <w:b/>
          <w:i w:val="0"/>
          <w:sz w:val="28"/>
          <w:u w:val="none"/>
        </w:rPr>
        <w:t>Научная новизна</w:t>
      </w:r>
    </w:p>
    <w:p>
      <w:pPr>
        <w:ind w:left="709" w:hanging="397"/>
        <w:jc w:val="both"/>
      </w:pPr>
      <w:r>
        <w:rPr>
          <w:rFonts w:ascii="Times New Roman" w:hAnsi="Times New Roman" w:cs="Times New Roman" w:eastAsia="Times New Roman"/>
          <w:b w:val="0"/>
          <w:i w:val="0"/>
          <w:sz w:val="28"/>
          <w:u w:val="none"/>
        </w:rPr>
        <w:t>1.</w:t>
        <w:tab/>
        <w:t>Формализован 8-этапный интегрированный конвейер предобработки как связующий компонент диагностической модели (операционализация парадигмы P2), включающий канонический разворот, нормализацию поворота по оси «диск–фовеа», обрезку по полю зрения (FOV) с изотропным масштабированием и центрированным дополнением нулями, генерацию маски FOV в качестве 4-го входного канала, адаптивную коррекцию освещения (σ = 0,07 × диаметр FOV), стохастический CLAHE с двойным ограничением по L-каналу LAB, аугментацию и наборо-специфичную поканальную нормализацию.</w:t>
      </w:r>
    </w:p>
    <w:p>
      <w:pPr>
        <w:ind w:left="709" w:hanging="397"/>
        <w:jc w:val="both"/>
      </w:pPr>
      <w:r>
        <w:rPr>
          <w:rFonts w:ascii="Times New Roman" w:hAnsi="Times New Roman" w:cs="Times New Roman" w:eastAsia="Times New Roman"/>
          <w:b w:val="0"/>
          <w:i w:val="0"/>
          <w:sz w:val="28"/>
          <w:u w:val="none"/>
        </w:rPr>
        <w:t>2.</w:t>
        <w:tab/>
        <w:t>Формализована и проверена гипотеза доминирования интегрированного конвейера в рамках контролируемого факторного плана 2×2 (конфигурации A–D) на двух устоявшихся архитектурах (ResNet-50, EfficientNet-B3) с предварительно зарегистрированным критерием доминирования (Δ weighted F1 ≥ 5 п.п., Δ ROC-AUC ≥ 0,02, без ухудшения Cohen's Kappa).</w:t>
      </w:r>
    </w:p>
    <w:p>
      <w:pPr>
        <w:ind w:left="709" w:hanging="397"/>
        <w:jc w:val="both"/>
      </w:pPr>
      <w:r>
        <w:rPr>
          <w:rFonts w:ascii="Times New Roman" w:hAnsi="Times New Roman" w:cs="Times New Roman" w:eastAsia="Times New Roman"/>
          <w:b w:val="0"/>
          <w:i w:val="0"/>
          <w:sz w:val="28"/>
          <w:u w:val="none"/>
        </w:rPr>
        <w:t>3.</w:t>
        <w:tab/>
        <w:t>Кумулятивная абляция при единой инициализации отделяет вклад предобработки от инициализации, с которой факторный план его неизбежно смешивает; это разложение не превращает факторный план в однофакторную манипуляцию, и никакое утверждение об изолированном эффекте предобработки на нём не основывается.</w:t>
      </w:r>
    </w:p>
    <w:p>
      <w:pPr>
        <w:ind w:left="709" w:hanging="397"/>
        <w:jc w:val="both"/>
      </w:pPr>
      <w:r>
        <w:rPr>
          <w:rFonts w:ascii="Times New Roman" w:hAnsi="Times New Roman" w:cs="Times New Roman" w:eastAsia="Times New Roman"/>
          <w:b w:val="0"/>
          <w:i w:val="0"/>
          <w:sz w:val="28"/>
          <w:u w:val="none"/>
        </w:rPr>
        <w:t>4.</w:t>
        <w:tab/>
        <w:t>Формализован и валидирован стохастический вариант CLAHE с двойным ограничением в контексте пятиклассовой ДР (L-канал LAB; порог CL = min(clip_factor × tile_area / 256, global_threshold × tile_area); вероятность применения 80% при обучении), благодаря чему этап служит одновременно оператором улучшения и источником регуляризации. Формулировка развивает ранее опубликованные работы соискателя по улучшению изображений глазного дна, а не возникает здесь впервые; новыми являются её формализация, встраивание в специфицированный конвейер и валидация в задаче пятиклассовой градации.</w:t>
      </w:r>
    </w:p>
    <w:p>
      <w:pPr>
        <w:ind w:left="709" w:hanging="397"/>
        <w:jc w:val="both"/>
      </w:pPr>
      <w:r>
        <w:rPr>
          <w:rFonts w:ascii="Times New Roman" w:hAnsi="Times New Roman" w:cs="Times New Roman" w:eastAsia="Times New Roman"/>
          <w:b w:val="0"/>
          <w:i w:val="0"/>
          <w:sz w:val="28"/>
          <w:u w:val="none"/>
        </w:rPr>
        <w:t>5.</w:t>
        <w:tab/>
        <w:t>Предложена адаптивная коррекция неравномерности освещения, в которой σ гауссова размытия масштабируется по диаметру FOV конкретного изображения, а не использует фиксированное глобальное значение, и применяется только внутри маски FOV, так что дополнение нулями не искажается.</w:t>
      </w:r>
    </w:p>
    <w:p>
      <w:pPr>
        <w:ind w:left="709" w:hanging="397"/>
        <w:jc w:val="both"/>
      </w:pPr>
      <w:r>
        <w:rPr>
          <w:rFonts w:ascii="Times New Roman" w:hAnsi="Times New Roman" w:cs="Times New Roman" w:eastAsia="Times New Roman"/>
          <w:b w:val="0"/>
          <w:i w:val="0"/>
          <w:sz w:val="28"/>
          <w:u w:val="none"/>
        </w:rPr>
        <w:t>6.</w:t>
        <w:tab/>
        <w:t>Введена явная бинарная маска FOV как отдельный этап конвейера, добавляемая 4-м входным каналом, что информирует CNN о допустимых пиксельных областях и предотвращает усвоение артефактов дополнения как признаков.</w:t>
      </w:r>
    </w:p>
    <w:p>
      <w:pPr>
        <w:ind w:left="709" w:hanging="397"/>
        <w:jc w:val="both"/>
      </w:pPr>
      <w:r>
        <w:rPr>
          <w:rFonts w:ascii="Times New Roman" w:hAnsi="Times New Roman" w:cs="Times New Roman" w:eastAsia="Times New Roman"/>
          <w:b w:val="0"/>
          <w:i w:val="0"/>
          <w:sz w:val="28"/>
          <w:u w:val="none"/>
        </w:rPr>
        <w:t>7.</w:t>
        <w:tab/>
        <w:t>Введена метрика перекрытия «внимание–очаг» (Attention–Lesion Overlap, ALO) как первичная асимметричная метрика интерпретируемости, непосредственно измеряющая долю очага поражения, покрытую вниманием модели, дополняемая метрикой Intersection-over-Union (IoU) как вторичной, в сопоставлении с пиксельными масками очагов IDRiD. Она устанавливает согласованность свидетельств модели с экспертной разметкой, а не клиническую локализацию патологии.</w:t>
      </w:r>
    </w:p>
    <w:p>
      <w:pPr>
        <w:ind w:left="709" w:hanging="397"/>
        <w:jc w:val="both"/>
      </w:pPr>
      <w:r>
        <w:rPr>
          <w:rFonts w:ascii="Times New Roman" w:hAnsi="Times New Roman" w:cs="Times New Roman" w:eastAsia="Times New Roman"/>
          <w:b w:val="0"/>
          <w:i w:val="0"/>
          <w:sz w:val="28"/>
          <w:u w:val="none"/>
        </w:rPr>
        <w:t>8.</w:t>
        <w:tab/>
        <w:t>Механизм, постулируемый центральной гипотезой, измерен напрямую, а не выведен из своего следствия: расстояние «источник—цель» вычисляется на предпоследнем слое для обеих конфигураций на шести внешних корпусах ценой одних лишь прямых проходов. Вклад несут две особенности плана — нормализация использует статистики домена-источника и никогда не пересчитывается на цели, поэтому измерение является свойством предобработки, а не подогнанной к цели процедуры; и его фальсифицируемость зафиксирована до самого измерения, поскольку два этапа конвейера по построению привязаны к домену-источнику и обращение результата было реальной возможностью.</w:t>
      </w:r>
    </w:p>
    <w:p>
      <w:pPr>
        <w:ind w:left="709" w:hanging="397"/>
        <w:jc w:val="both"/>
      </w:pPr>
      <w:r>
        <w:rPr>
          <w:rFonts w:ascii="Times New Roman" w:hAnsi="Times New Roman" w:cs="Times New Roman" w:eastAsia="Times New Roman"/>
          <w:b w:val="0"/>
          <w:i w:val="0"/>
          <w:sz w:val="28"/>
          <w:u w:val="none"/>
        </w:rPr>
        <w:t>9.</w:t>
        <w:tab/>
        <w:t>Интегрированная ветвь инициализируется внутридоменным, а не натурально-изобразительным предобучением, причём выбор между конкурирующими инициализациями решается приёмочным шлюзом линейного зонда с замороженным backbone, а не постулируется. Отрицательный исход приводится как свидетельство: самообучение без меток, обученное с нуля на внутридоменном корпусе, шлюз не прошло — по нескольким протоколам одного семейства и без улучшения от более длительного обучения — и допущено не было.</w:t>
      </w:r>
    </w:p>
    <w:p>
      <w:pPr>
        <w:ind w:left="709" w:hanging="397"/>
        <w:jc w:val="both"/>
      </w:pPr>
      <w:r>
        <w:rPr>
          <w:rFonts w:ascii="Times New Roman" w:hAnsi="Times New Roman" w:cs="Times New Roman" w:eastAsia="Times New Roman"/>
          <w:b w:val="0"/>
          <w:i w:val="0"/>
          <w:sz w:val="28"/>
          <w:u w:val="none"/>
        </w:rPr>
        <w:t>10.</w:t>
        <w:tab/>
        <w:t>Интегрированный конвейер валидирован на многоуровневой многонаборной и многоприборной архитектуре (EyePACS, APTOS 2019, IDRiD, Messidor-2, DDR, ODIR-5K, RFMiD и казахстанский клинический набор), организованной по функциям и охватывающей камеры четырёх производителей (Canon, Topcon, Kowa, Zeiss), включая межнаборный перенос, внешнее клиническое качество и доменный сдвиг по устройствам.</w:t>
      </w:r>
    </w:p>
    <w:p>
      <w:pPr>
        <w:ind w:left="709" w:hanging="397"/>
        <w:jc w:val="both"/>
      </w:pPr>
      <w:r>
        <w:rPr>
          <w:rFonts w:ascii="Times New Roman" w:hAnsi="Times New Roman" w:cs="Times New Roman" w:eastAsia="Times New Roman"/>
          <w:b w:val="0"/>
          <w:i w:val="0"/>
          <w:sz w:val="28"/>
          <w:u w:val="none"/>
        </w:rPr>
        <w:t>11.</w:t>
        <w:tab/>
        <w:t>Аналитически выявлен дефект, общий для трёх широко используемых мер внешней устойчивости: величина деградации, коэффициент обобщения и коэффициент удержания — каждая нормирует или вычитает внешнее качество ветви относительно её же внутридоменного качества и потому штрафует конфигурацию за её внутридоменную силу. Анализ строго описателен и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12.</w:t>
        <w:tab/>
        <w:t>Два вклада неэмпиричны по замыслу: связанная термооптическая модель отклика тканей глазного дна при лазерном воздействии — только теоретический и вычислительный вклад; и модульная архитектура системы скрининга — проектный вклад, реализованный частично в виде работающего демонстратора, который подтверждает осуществимость замысла и его поведение в работе и не служит свидетельством ни для одного диагностического утверждения: клинические испытания внедрения не проводились.</w:t>
      </w:r>
    </w:p>
    <w:p>
      <w:pPr>
        <w:keepNext/>
        <w:spacing w:before="240" w:after="120"/>
        <w:jc w:val="left"/>
      </w:pPr>
      <w:r>
        <w:rPr>
          <w:rFonts w:ascii="Times New Roman" w:hAnsi="Times New Roman" w:cs="Times New Roman" w:eastAsia="Times New Roman"/>
          <w:b/>
          <w:i w:val="0"/>
          <w:sz w:val="28"/>
          <w:u w:val="none"/>
        </w:rPr>
        <w:t>Основные результаты исследования</w:t>
      </w:r>
    </w:p>
    <w:p>
      <w:pPr>
        <w:ind w:left="709" w:hanging="397"/>
        <w:jc w:val="both"/>
      </w:pPr>
      <w:r>
        <w:rPr>
          <w:rFonts w:ascii="Times New Roman" w:hAnsi="Times New Roman" w:cs="Times New Roman" w:eastAsia="Times New Roman"/>
          <w:b w:val="0"/>
          <w:i w:val="0"/>
          <w:sz w:val="28"/>
          <w:u w:val="none"/>
        </w:rPr>
        <w:t>1.</w:t>
        <w:tab/>
        <w:t>Выполнен критический анализ медицинского, эпидемиологического и технического контекста автоматизированной диагностики ДР и вариабельности качества изображений глазного дна; выявлены ограничения сквозной парадигмы (P1) и сформулирована научная проблема.</w:t>
      </w:r>
    </w:p>
    <w:p>
      <w:pPr>
        <w:ind w:left="709" w:hanging="397"/>
        <w:jc w:val="both"/>
      </w:pPr>
      <w:r>
        <w:rPr>
          <w:rFonts w:ascii="Times New Roman" w:hAnsi="Times New Roman" w:cs="Times New Roman" w:eastAsia="Times New Roman"/>
          <w:b w:val="0"/>
          <w:i w:val="0"/>
          <w:sz w:val="28"/>
          <w:u w:val="none"/>
        </w:rPr>
        <w:t>2.</w:t>
        <w:tab/>
        <w:t>Разработан и формализован 8-этапный интегрированный конвейер предобработки как неотъемлемый компонент диагностической модели (парадигма P2), включающий канонический разворот, нормализацию поворота по оси «диск–фовеа», обрезку по полю зрения с изотропным масштабированием и центрированным дополнением нулями, генерацию маски FOV в качестве 4-го входного канала, адаптивную flat-field-коррекцию, стохастический CLAHE с двойным ограничением, аугментацию и наборо-специфичную нормализацию.</w:t>
      </w:r>
    </w:p>
    <w:p>
      <w:pPr>
        <w:ind w:left="709" w:hanging="397"/>
        <w:jc w:val="both"/>
      </w:pPr>
      <w:r>
        <w:rPr>
          <w:rFonts w:ascii="Times New Roman" w:hAnsi="Times New Roman" w:cs="Times New Roman" w:eastAsia="Times New Roman"/>
          <w:b w:val="0"/>
          <w:i w:val="0"/>
          <w:sz w:val="28"/>
          <w:u w:val="none"/>
        </w:rPr>
        <w:t>3.</w:t>
        <w:tab/>
        <w:t>Установлено доминирование интегрированной конфигурации над базовой в рамках контролируемого факторного плана 2×2 (конфигурации A–D) на EyePACS для обеих архитектур: критерий удовлетворён по всем трём его компонентам, эффект выдержал поправку на множественные сравнения и не обнаружил взаимодействия с выбором архитектуры (Эксперимент 1). Это свойство конфигурации, которая отличается от базовой не только предобработкой, но и инициализацией.</w:t>
      </w:r>
    </w:p>
    <w:p>
      <w:pPr>
        <w:ind w:left="709" w:hanging="397"/>
        <w:jc w:val="both"/>
      </w:pPr>
      <w:r>
        <w:rPr>
          <w:rFonts w:ascii="Times New Roman" w:hAnsi="Times New Roman" w:cs="Times New Roman" w:eastAsia="Times New Roman"/>
          <w:b w:val="0"/>
          <w:i w:val="0"/>
          <w:sz w:val="28"/>
          <w:u w:val="none"/>
        </w:rPr>
        <w:t>4.</w:t>
        <w:tab/>
        <w:t>Вклад отдельных этапов конвейера количественно оценён посредством кумулятивной компонентной абляции при единой инициализации: каждый переход между этапами дал вклад, превышающий межфолдовый разброс своего уровня, вклады разделяются на группы с лидирующими двумя фотометрическими этапами, а сама абляция воспроизвела весь внутридоменный прирост. Порог CLAHE и параметр σ flat-field-коррекции обнаружили внутренний оптимум в пределах просмотренных диапазонов, подтверждённый на отложенных данных и подкреплённый метриками качества изображений (CNR, энтропия, SSIM) (Эксперимент 2).</w:t>
      </w:r>
    </w:p>
    <w:p>
      <w:pPr>
        <w:ind w:left="709" w:hanging="397"/>
        <w:jc w:val="both"/>
      </w:pPr>
      <w:r>
        <w:rPr>
          <w:rFonts w:ascii="Times New Roman" w:hAnsi="Times New Roman" w:cs="Times New Roman" w:eastAsia="Times New Roman"/>
          <w:b w:val="0"/>
          <w:i w:val="0"/>
          <w:sz w:val="28"/>
          <w:u w:val="none"/>
        </w:rPr>
        <w:t>5.</w:t>
        <w:tab/>
        <w:t>Сокращение расстояния «источник—цель» в пространстве признаков измерено напрямую на шести внешних корпусах при обязательном условии использования статистик домена-источника: расстояние сократилось на каждом рассмотренном корпусе, что даёт средний член причинной цепи, к которому остальные исследования подступают лишь через его следствие, — только по направлению, поскольку величина сокращения расстояния не отслеживает величину прироста качества.</w:t>
      </w:r>
    </w:p>
    <w:p>
      <w:pPr>
        <w:ind w:left="709" w:hanging="397"/>
        <w:jc w:val="both"/>
      </w:pPr>
      <w:r>
        <w:rPr>
          <w:rFonts w:ascii="Times New Roman" w:hAnsi="Times New Roman" w:cs="Times New Roman" w:eastAsia="Times New Roman"/>
          <w:b w:val="0"/>
          <w:i w:val="0"/>
          <w:sz w:val="28"/>
          <w:u w:val="none"/>
        </w:rPr>
        <w:t>6.</w:t>
        <w:tab/>
        <w:t>Модель, обученная на EyePACS с конвейером, перенеслась на APTOS 2019 без дообучения, преодолев предварительно зарегистрированный коэффициент обобщения G ≥ 0,85 и превзойдя базовую конфигурацию на каждой степени тяжести; базовая конфигурация также преодолевает порог, поэтому свидетельство заключено в сравнении, а не в критерии (Эксперимент 3).</w:t>
      </w:r>
    </w:p>
    <w:p>
      <w:pPr>
        <w:ind w:left="709" w:hanging="397"/>
        <w:jc w:val="both"/>
      </w:pPr>
      <w:r>
        <w:rPr>
          <w:rFonts w:ascii="Times New Roman" w:hAnsi="Times New Roman" w:cs="Times New Roman" w:eastAsia="Times New Roman"/>
          <w:b w:val="0"/>
          <w:i w:val="0"/>
          <w:sz w:val="28"/>
          <w:u w:val="none"/>
        </w:rPr>
        <w:t>7.</w:t>
        <w:tab/>
        <w:t>Анализ интерпретируемости Grad-CAM с использованием предложенной метрики перекрытия «внимание—очаг» (ALO, первичная) и IoU (вторичная) относительно пиксельных масок очагов IDRiD показал более тесную согласованность внимания модели с экспертной разметкой при интегрированной конфигурации — по всем четырём аннотированным типам очагов и по обеим метрикам (Эксперимент 4);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На обоих внешних клинических корпусах интегрированная конфигурация достигла более высокого абсолютного weighted F1, причём каждая разница достигает минимально клинически значимой величины при интервале, исключающем ноль (Эксперимент 5 — более высокое абсолютное внешнее качество, а не устойчивость к деградации); качество сохранено на всех пяти группировках камер при сокращении разброса между ними (Эксперимент 6); в режиме дефицита данных интегрированная конфигурация вновь оказалась сильнее — с преимуществом, сопоставимым с измеренным при обилии данных и не превышающим его (Эксперимент 7).</w:t>
      </w:r>
    </w:p>
    <w:p>
      <w:pPr>
        <w:ind w:left="709" w:hanging="397"/>
        <w:jc w:val="both"/>
      </w:pPr>
      <w:r>
        <w:rPr>
          <w:rFonts w:ascii="Times New Roman" w:hAnsi="Times New Roman" w:cs="Times New Roman" w:eastAsia="Times New Roman"/>
          <w:b w:val="0"/>
          <w:i w:val="0"/>
          <w:sz w:val="28"/>
          <w:u w:val="none"/>
        </w:rPr>
        <w:t>9.</w:t>
        <w:tab/>
        <w:t>Спроектирована модульная архитектура автоматизированной системы скрининга ДР для сред с ограниченными ресурсами, с интеграцией телемедицины и электронного здравоохранения, применимая к инфраструктуре здравоохранения Казахстана, и построен и развёрнут её работающий демонстратор: он выполняет конвейер предобработки и обученный классификатор от начала до конца, строит карты внимания и ведёт запись по каждому случаю, включая вердикт просматривающего офтальмолога. Демонстратор подтверждает осуществимость замысла и показывает его поведение в работе; те ориентированные на внедрение части, которые он не реализует, остаются спецификацией, а клинические испытания внедрения не проводились.</w:t>
      </w:r>
    </w:p>
    <w:p>
      <w:pPr>
        <w:keepNext/>
        <w:spacing w:before="240" w:after="120"/>
        <w:jc w:val="left"/>
      </w:pPr>
      <w:r>
        <w:rPr>
          <w:rFonts w:ascii="Times New Roman" w:hAnsi="Times New Roman" w:cs="Times New Roman" w:eastAsia="Times New Roman"/>
          <w:b/>
          <w:i w:val="0"/>
          <w:sz w:val="28"/>
          <w:u w:val="none"/>
        </w:rPr>
        <w:t>Положения, выносимые на защиту</w:t>
      </w:r>
    </w:p>
    <w:p>
      <w:pPr>
        <w:ind w:firstLine="709"/>
        <w:jc w:val="both"/>
      </w:pPr>
      <w:r>
        <w:rPr>
          <w:rFonts w:ascii="Times New Roman" w:hAnsi="Times New Roman" w:cs="Times New Roman" w:eastAsia="Times New Roman"/>
          <w:b w:val="0"/>
          <w:i w:val="0"/>
          <w:sz w:val="28"/>
          <w:u w:val="none"/>
        </w:rPr>
        <w:t>Каждое положение выносится на защиту в той силе, которую поддерживает его заранее заданный критерий, и каждое несёт оговорку, неотделимую от него: положение, приведённое без своей оговорки, есть иное и более сильное утверждение, чем то, которое поддержано данными.</w:t>
      </w:r>
    </w:p>
    <w:p>
      <w:pPr>
        <w:ind w:left="709" w:hanging="397"/>
        <w:jc w:val="both"/>
      </w:pPr>
      <w:r>
        <w:rPr>
          <w:rFonts w:ascii="Times New Roman" w:hAnsi="Times New Roman" w:cs="Times New Roman" w:eastAsia="Times New Roman"/>
          <w:b w:val="0"/>
          <w:i w:val="0"/>
          <w:sz w:val="28"/>
          <w:u w:val="none"/>
        </w:rPr>
        <w:t>1.</w:t>
        <w:tab/>
        <w:t xml:space="preserve">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 переосмысление от сквозной парадигмы (P1) к интегрированной (P2). </w:t>
      </w:r>
      <w:r>
        <w:rPr>
          <w:rFonts w:ascii="Times New Roman" w:hAnsi="Times New Roman" w:cs="Times New Roman" w:eastAsia="Times New Roman"/>
          <w:b w:val="0"/>
          <w:i/>
          <w:sz w:val="28"/>
          <w:u w:val="none"/>
        </w:rPr>
        <w:t>Это положение методологическое и неэмпирическое: экспериментальные результаты согласуются с ним в исследованных условиях и не устанавливают его универсально.</w:t>
      </w:r>
    </w:p>
    <w:p>
      <w:pPr>
        <w:ind w:left="709" w:hanging="397"/>
        <w:jc w:val="both"/>
      </w:pPr>
      <w:r>
        <w:rPr>
          <w:rFonts w:ascii="Times New Roman" w:hAnsi="Times New Roman" w:cs="Times New Roman" w:eastAsia="Times New Roman"/>
          <w:b w:val="0"/>
          <w:i w:val="0"/>
          <w:sz w:val="28"/>
          <w:u w:val="none"/>
        </w:rPr>
        <w:t>2.</w:t>
        <w:tab/>
        <w:t xml:space="preserve">Интегрированная конфигурация доминирует над базовой в пятиклассовой классификации ДР на EyePACS для обеих архитектур ResNet-50 и EfficientNet-B3 по конъюнктивному предварительно зарегистрированному критерию во всех трёх его компонентах, причём эффект выдерживает поправку на множественные сравнения и не обнаруживает взаимодействия с выбором архитектуры. </w:t>
      </w:r>
      <w:r>
        <w:rPr>
          <w:rFonts w:ascii="Times New Roman" w:hAnsi="Times New Roman" w:cs="Times New Roman" w:eastAsia="Times New Roman"/>
          <w:b w:val="0"/>
          <w:i/>
          <w:sz w:val="28"/>
          <w:u w:val="none"/>
        </w:rPr>
        <w:t>Две ветви различаются не только предобработкой, но и инициализацией, поэтому положение касается конфигурации как целого; кумулятивная абляция разлагает этот композит, но не растворяет его, и никакая часть эффекта не приписывается предобработке в отдельности.</w:t>
      </w:r>
    </w:p>
    <w:p>
      <w:pPr>
        <w:ind w:left="709" w:hanging="397"/>
        <w:jc w:val="both"/>
      </w:pPr>
      <w:r>
        <w:rPr>
          <w:rFonts w:ascii="Times New Roman" w:hAnsi="Times New Roman" w:cs="Times New Roman" w:eastAsia="Times New Roman"/>
          <w:b w:val="0"/>
          <w:i w:val="0"/>
          <w:sz w:val="28"/>
          <w:u w:val="none"/>
        </w:rPr>
        <w:t>3.</w:t>
        <w:tab/>
        <w:t xml:space="preserve">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 </w:t>
      </w:r>
      <w:r>
        <w:rPr>
          <w:rFonts w:ascii="Times New Roman" w:hAnsi="Times New Roman" w:cs="Times New Roman" w:eastAsia="Times New Roman"/>
          <w:b w:val="0"/>
          <w:i/>
          <w:sz w:val="28"/>
          <w:u w:val="none"/>
        </w:rPr>
        <w:t>Ограничено проверенными диапазонами; оптимальные значения суть свойства данного корпуса и конвейера, а не переносимые константы.</w:t>
      </w:r>
    </w:p>
    <w:p>
      <w:pPr>
        <w:ind w:left="709" w:hanging="397"/>
        <w:jc w:val="both"/>
      </w:pPr>
      <w:r>
        <w:rPr>
          <w:rFonts w:ascii="Times New Roman" w:hAnsi="Times New Roman" w:cs="Times New Roman" w:eastAsia="Times New Roman"/>
          <w:b w:val="0"/>
          <w:i w:val="0"/>
          <w:sz w:val="28"/>
          <w:u w:val="none"/>
        </w:rPr>
        <w:t>4.</w:t>
        <w:tab/>
        <w:t xml:space="preserve">Вклады отдельных этапов конвейера разделимы, монотонны по фолдам и упорядочиваемы, причём два фотометрических этапа лидируют. </w:t>
      </w:r>
      <w:r>
        <w:rPr>
          <w:rFonts w:ascii="Times New Roman" w:hAnsi="Times New Roman" w:cs="Times New Roman" w:eastAsia="Times New Roman"/>
          <w:b w:val="0"/>
          <w:i/>
          <w:sz w:val="28"/>
          <w:u w:val="none"/>
        </w:rPr>
        <w:t>Только на уровне разрешения групп: соседние ранги лежат в пределах шума, строгий порядок этапов на защиту не выносится, а канал маски FOV не был выделен изолированно.</w:t>
      </w:r>
    </w:p>
    <w:p>
      <w:pPr>
        <w:ind w:left="709" w:hanging="397"/>
        <w:jc w:val="both"/>
      </w:pPr>
      <w:r>
        <w:rPr>
          <w:rFonts w:ascii="Times New Roman" w:hAnsi="Times New Roman" w:cs="Times New Roman" w:eastAsia="Times New Roman"/>
          <w:b w:val="0"/>
          <w:i w:val="0"/>
          <w:sz w:val="28"/>
          <w:u w:val="none"/>
        </w:rPr>
        <w:t>5.</w:t>
        <w:tab/>
        <w:t xml:space="preserve">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 причём ни одна статистика целевого корпуса не входит в преобразование. </w:t>
      </w:r>
      <w:r>
        <w:rPr>
          <w:rFonts w:ascii="Times New Roman" w:hAnsi="Times New Roman" w:cs="Times New Roman" w:eastAsia="Times New Roman"/>
          <w:b w:val="0"/>
          <w:i/>
          <w:sz w:val="28"/>
          <w:u w:val="none"/>
        </w:rPr>
        <w:t>Только по направлению — величина сокращения расстояния не отслеживает величину прироста качества; утверждение механистическое и не несёт заявлений о диагностическом качестве или совместимости с устройствами.</w:t>
      </w:r>
    </w:p>
    <w:p>
      <w:pPr>
        <w:ind w:left="709" w:hanging="397"/>
        <w:jc w:val="both"/>
      </w:pPr>
      <w:r>
        <w:rPr>
          <w:rFonts w:ascii="Times New Roman" w:hAnsi="Times New Roman" w:cs="Times New Roman" w:eastAsia="Times New Roman"/>
          <w:b w:val="0"/>
          <w:i w:val="0"/>
          <w:sz w:val="28"/>
          <w:u w:val="none"/>
        </w:rPr>
        <w:t>6.</w:t>
        <w:tab/>
        <w:t xml:space="preserve">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 </w:t>
      </w:r>
      <w:r>
        <w:rPr>
          <w:rFonts w:ascii="Times New Roman" w:hAnsi="Times New Roman" w:cs="Times New Roman" w:eastAsia="Times New Roman"/>
          <w:b w:val="0"/>
          <w:i/>
          <w:sz w:val="28"/>
          <w:u w:val="none"/>
        </w:rPr>
        <w:t>Базовая конфигурация также преодолевает порог, поэтому критерий не различает ветви; доказательство лежит в сравнении.</w:t>
      </w:r>
    </w:p>
    <w:p>
      <w:pPr>
        <w:ind w:left="709" w:hanging="397"/>
        <w:jc w:val="both"/>
      </w:pPr>
      <w:r>
        <w:rPr>
          <w:rFonts w:ascii="Times New Roman" w:hAnsi="Times New Roman" w:cs="Times New Roman" w:eastAsia="Times New Roman"/>
          <w:b w:val="0"/>
          <w:i w:val="0"/>
          <w:sz w:val="28"/>
          <w:u w:val="none"/>
        </w:rPr>
        <w:t>7.</w:t>
        <w:tab/>
        <w:t xml:space="preserve">Внимание модели теснее согласуется с экспертной пиксельной разметкой очагов в интегрированной конфигурации — на всех четырёх аннотированных типах очагов, по первичной и по вторичной мере и устойчиво по порогу внимания. </w:t>
      </w:r>
      <w:r>
        <w:rPr>
          <w:rFonts w:ascii="Times New Roman" w:hAnsi="Times New Roman" w:cs="Times New Roman" w:eastAsia="Times New Roman"/>
          <w:b w:val="0"/>
          <w:i/>
          <w:sz w:val="28"/>
          <w:u w:val="none"/>
        </w:rPr>
        <w:t>Согласованность между свидетельством модели и экспертной разметкой, а не клиническая локализация патологии; один аннотированный корпус и один фолд;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 xml:space="preserve">Качество классификации сохраняется на всех исследованных камерных группах, а по существу — сокращается разброс качества между этими группами. </w:t>
      </w:r>
      <w:r>
        <w:rPr>
          <w:rFonts w:ascii="Times New Roman" w:hAnsi="Times New Roman" w:cs="Times New Roman" w:eastAsia="Times New Roman"/>
          <w:b w:val="0"/>
          <w:i/>
          <w:sz w:val="28"/>
          <w:u w:val="none"/>
        </w:rPr>
        <w:t>Обе конфигурации преодолевают порог удержания; две из пяти групп суть сами внешние клинические корпуса и не дают независимого воспроизведения; три группы объединяют несколько моделей камер, а не одно устройство; ничто из этого не составляет сертификации устройств или заявления о готовности к приборно-независимому внедрению.</w:t>
      </w:r>
    </w:p>
    <w:p>
      <w:pPr>
        <w:ind w:left="709" w:hanging="397"/>
        <w:jc w:val="both"/>
      </w:pPr>
      <w:r>
        <w:rPr>
          <w:rFonts w:ascii="Times New Roman" w:hAnsi="Times New Roman" w:cs="Times New Roman" w:eastAsia="Times New Roman"/>
          <w:b w:val="0"/>
          <w:i w:val="0"/>
          <w:sz w:val="28"/>
          <w:u w:val="none"/>
        </w:rPr>
        <w:t>9.</w:t>
        <w:tab/>
        <w:t xml:space="preserve">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доверительном интервале, исключающем ноль, и оценивается на каждом корпусе раздельно. </w:t>
      </w:r>
      <w:r>
        <w:rPr>
          <w:rFonts w:ascii="Times New Roman" w:hAnsi="Times New Roman" w:cs="Times New Roman" w:eastAsia="Times New Roman"/>
          <w:b w:val="0"/>
          <w:i/>
          <w:sz w:val="28"/>
          <w:u w:val="none"/>
        </w:rPr>
        <w:t>Более высокое абсолютное внешнее качество, а не устойчивость к деградации — относительно собственных внутридоменных уровней обе конфигурации снижаются почти одинаково; запас над минимально значимой величиной на втором корпусе составляет 0,0041, и нижняя граница этого интервала лежит ниже минимально значимой величины.</w:t>
      </w:r>
    </w:p>
    <w:p>
      <w:pPr>
        <w:ind w:left="709" w:hanging="397"/>
        <w:jc w:val="both"/>
      </w:pPr>
      <w:r>
        <w:rPr>
          <w:rFonts w:ascii="Times New Roman" w:hAnsi="Times New Roman" w:cs="Times New Roman" w:eastAsia="Times New Roman"/>
          <w:b w:val="0"/>
          <w:i w:val="0"/>
          <w:sz w:val="28"/>
          <w:u w:val="none"/>
        </w:rPr>
        <w:t>10.</w:t>
        <w:tab/>
        <w:t xml:space="preserve">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нормирует или вычитает внешнее качество ветви относительно её же внутридоменного качества и потому штрафует конфигурацию за внутридоменную силу. </w:t>
      </w:r>
      <w:r>
        <w:rPr>
          <w:rFonts w:ascii="Times New Roman" w:hAnsi="Times New Roman" w:cs="Times New Roman" w:eastAsia="Times New Roman"/>
          <w:b w:val="0"/>
          <w:i/>
          <w:sz w:val="28"/>
          <w:u w:val="none"/>
        </w:rPr>
        <w:t>Аналитично и строго описательно: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11.</w:t>
        <w:tab/>
        <w:t xml:space="preserve">Связанная термо-оптическая модель отклика тканей глазного дна на лазерное воздействие и модульная архитектура автоматизированной системы скрининга ДР для сред с ограниченными ресурсами, реализованная частично в виде работающего демонстратора. </w:t>
      </w:r>
      <w:r>
        <w:rPr>
          <w:rFonts w:ascii="Times New Roman" w:hAnsi="Times New Roman" w:cs="Times New Roman" w:eastAsia="Times New Roman"/>
          <w:b w:val="0"/>
          <w:i/>
          <w:sz w:val="28"/>
          <w:u w:val="none"/>
        </w:rPr>
        <w:t>Выносятся соответственно как теоретический и проектный вклад — модель клинически не валидирована; демонстратор подтверждает осуществимость замысла и его поведение в работе и не служит свидетельством ни для одного диагностического утверждения; ориентированные на внедрение части архитектуры остаются спецификацией, полевые испытания не проводились.</w:t>
      </w:r>
    </w:p>
    <w:p>
      <w:pPr>
        <w:ind w:firstLine="709"/>
        <w:jc w:val="both"/>
      </w:pPr>
      <w:r>
        <w:rPr>
          <w:rFonts w:ascii="Times New Roman" w:hAnsi="Times New Roman" w:cs="Times New Roman" w:eastAsia="Times New Roman"/>
          <w:b w:val="0"/>
          <w:i w:val="0"/>
          <w:sz w:val="28"/>
          <w:u w:val="none"/>
        </w:rPr>
        <w:t xml:space="preserve">Ещё один результат предлагается как наблюдение, а не как положение на защиту: в предзарегистрированной оценке на корпусе примерно в семьдесят раз меньшем обучающего, при обучении обеих ветвей из одной инициализации, интегрированная конфигурация вновь оказалась сильнее — с запасом, </w:t>
      </w:r>
      <w:r>
        <w:rPr>
          <w:rFonts w:ascii="Times New Roman" w:hAnsi="Times New Roman" w:cs="Times New Roman" w:eastAsia="Times New Roman"/>
          <w:b/>
          <w:i w:val="0"/>
          <w:sz w:val="28"/>
          <w:u w:val="none"/>
        </w:rPr>
        <w:t>сопоставимым с приростом на обильных данных, но не превосходящим его</w:t>
      </w:r>
      <w:r>
        <w:rPr>
          <w:rFonts w:ascii="Times New Roman" w:hAnsi="Times New Roman" w:cs="Times New Roman" w:eastAsia="Times New Roman"/>
          <w:b w:val="0"/>
          <w:i w:val="0"/>
          <w:sz w:val="28"/>
          <w:u w:val="none"/>
        </w:rPr>
        <w:t>. Задействованный клинический корпус не подлежит распространению, поэтому данный результат внешне невоспроизводим.</w:t>
      </w:r>
    </w:p>
    <w:p>
      <w:pPr>
        <w:ind w:firstLine="709"/>
        <w:jc w:val="both"/>
      </w:pPr>
      <w:r>
        <w:rPr>
          <w:rFonts w:ascii="Times New Roman" w:hAnsi="Times New Roman" w:cs="Times New Roman" w:eastAsia="Times New Roman"/>
          <w:b/>
          <w:i w:val="0"/>
          <w:sz w:val="28"/>
          <w:u w:val="none"/>
        </w:rPr>
        <w:t>Не выносятся на защиту:</w:t>
      </w:r>
      <w:r>
        <w:rPr>
          <w:rFonts w:ascii="Times New Roman" w:hAnsi="Times New Roman" w:cs="Times New Roman" w:eastAsia="Times New Roman"/>
          <w:b w:val="0"/>
          <w:i w:val="0"/>
          <w:sz w:val="28"/>
          <w:u w:val="none"/>
        </w:rPr>
        <w:t xml:space="preserve"> клиническая валидность, готовность к автономному внедрению, сертификация устройств, локализация патологии, превосходство над какой-либо поименованной опубликованной системой, а также распространение результатов за пределы корпусов, устройств и аппаратуры, на которых они получены.</w:t>
      </w:r>
    </w:p>
    <w:p>
      <w:pPr>
        <w:keepNext/>
        <w:spacing w:before="240" w:after="120"/>
        <w:jc w:val="left"/>
      </w:pPr>
      <w:r>
        <w:rPr>
          <w:rFonts w:ascii="Times New Roman" w:hAnsi="Times New Roman" w:cs="Times New Roman" w:eastAsia="Times New Roman"/>
          <w:b/>
          <w:i w:val="0"/>
          <w:sz w:val="28"/>
          <w:u w:val="none"/>
        </w:rPr>
        <w:t>Теоретическая значимость</w:t>
      </w:r>
    </w:p>
    <w:p>
      <w:pPr>
        <w:ind w:firstLine="709"/>
        <w:jc w:val="both"/>
      </w:pPr>
      <w:r>
        <w:rPr>
          <w:rFonts w:ascii="Times New Roman" w:hAnsi="Times New Roman" w:cs="Times New Roman" w:eastAsia="Times New Roman"/>
          <w:b w:val="0"/>
          <w:i w:val="0"/>
          <w:sz w:val="28"/>
          <w:u w:val="none"/>
        </w:rPr>
        <w:t>Работа вносит концептуальное переосмысление предобработки как неотъемлемого компонента модели, со-определяющего доступное CNN пространство признаков (парадигма P2), и подвергает это переосмысление прямой эмпирической проверке в противопоставлении со сквозной парадигмой (P1). Предложены формальная спецификация 8-этапного конвейера и математические формализации порога CLAHE с двойным ограничением — развивающего ранее опубликованные работы соискателя, а не возникающего здесь впервые, — адаптивной flat-field-коррекции и метрики интерпретируемости ALO, а также статистическая система валидации эффектов предобработки в условиях дисбаланса классов. Ещё один вклад имеет иную природу: механизм, до сих пор привлекавшийся как объяснение, сделан измеримым — как величина, вычислимая на предпоследнем слое при заданном протокольном условии (нормализация по статистикам домена-источника), что делает механистическое утверждение фальсифицируемым независимо от объясняемых им утверждений о качестве. Связанная термооптическая модель отклика тканей глазного дна при лазерном воздействии является теоретическим и вычислительным вкладом.</w:t>
      </w:r>
    </w:p>
    <w:p>
      <w:pPr>
        <w:keepNext/>
        <w:spacing w:before="240" w:after="120"/>
        <w:jc w:val="left"/>
      </w:pPr>
      <w:r>
        <w:rPr>
          <w:rFonts w:ascii="Times New Roman" w:hAnsi="Times New Roman" w:cs="Times New Roman" w:eastAsia="Times New Roman"/>
          <w:b/>
          <w:i w:val="0"/>
          <w:sz w:val="28"/>
          <w:u w:val="none"/>
        </w:rPr>
        <w:t>Практическая значимость</w:t>
      </w:r>
    </w:p>
    <w:p>
      <w:pPr>
        <w:ind w:firstLine="709"/>
        <w:jc w:val="both"/>
      </w:pPr>
      <w:r>
        <w:rPr>
          <w:rFonts w:ascii="Times New Roman" w:hAnsi="Times New Roman" w:cs="Times New Roman" w:eastAsia="Times New Roman"/>
          <w:b w:val="0"/>
          <w:i w:val="0"/>
          <w:sz w:val="28"/>
          <w:u w:val="none"/>
        </w:rPr>
        <w:t>Интегрированный конвейер представляет собой полностью специфицированный воспроизводимый режим предобработки для автоматизированной диагностики ДР в условиях вычислительных ограничений: он определён поэтапно, с операторами, параметрами и порядком применения, а его реализация воспроизведена в Приложении A. Однако значения параметров зафиксированы на конкретных корпусах и суть свойства этих корпусов, а не переносимые константы.</w:t>
      </w:r>
    </w:p>
    <w:p>
      <w:pPr>
        <w:ind w:firstLine="709"/>
        <w:jc w:val="both"/>
      </w:pPr>
      <w:r>
        <w:rPr>
          <w:rFonts w:ascii="Times New Roman" w:hAnsi="Times New Roman" w:cs="Times New Roman" w:eastAsia="Times New Roman"/>
          <w:b w:val="0"/>
          <w:i w:val="0"/>
          <w:sz w:val="28"/>
          <w:u w:val="none"/>
        </w:rPr>
        <w:t>Предложена модульная архитектура автоматизированной системы скрининга ДР с модулями движка предобработки, инференса, телемедицины в режиме store-and-forward и поддержки принятия решений в парадигме «врач-в-контуре» (physician-in-the-loop), интегрируемая с системами PACS/EHR и национальной платформой электронного здравоохранения и применимая для скрининга ДР в сельских и удалённых регионах Казахстана. Работающий демонстратор архитектуры развёрнут и выполняет инференс на присланных изображениях, что подтверждает осуществимость замысла и показывает его поведение в работе; те ориентированные на внедрение части, которые он не реализует, — интеграция с PACS, взаимодействие с EHR, телемедицинский режим, — остаются проектной спецификацией, внедрение в клинических условиях не испытывалось, а положения о защите данных суть соответствие по замыслу, а не сертифицированное соответствие. Система задумана как поддержка принятия решений, при которой диагноз и ответственность за него остаются за врачом; ничто здесь не предлагается как самостоятельный диагностический инструмент.</w:t>
      </w:r>
    </w:p>
    <w:p>
      <w:pPr>
        <w:keepNext/>
        <w:spacing w:before="240" w:after="120"/>
        <w:jc w:val="left"/>
      </w:pPr>
      <w:r>
        <w:rPr>
          <w:rFonts w:ascii="Times New Roman" w:hAnsi="Times New Roman" w:cs="Times New Roman" w:eastAsia="Times New Roman"/>
          <w:b/>
          <w:i w:val="0"/>
          <w:sz w:val="28"/>
          <w:u w:val="none"/>
        </w:rPr>
        <w:t>Достоверность результатов</w:t>
      </w:r>
    </w:p>
    <w:p>
      <w:pPr>
        <w:ind w:firstLine="709"/>
        <w:jc w:val="both"/>
      </w:pPr>
      <w:r>
        <w:rPr>
          <w:rFonts w:ascii="Times New Roman" w:hAnsi="Times New Roman" w:cs="Times New Roman" w:eastAsia="Times New Roman"/>
          <w:b w:val="0"/>
          <w:i w:val="0"/>
          <w:sz w:val="28"/>
          <w:u w:val="none"/>
        </w:rPr>
        <w:t>Достоверность обеспечивается: использованием крупномасштабных и множественных публичных наборов данных (~35 126 обучающих изображений EyePACS и семь дополнительных наборов); 5-кратной перекрёстной проверкой со стратификацией на уровне пациента и строгим контролем утечки данных; представлением всех первичных метрик в виде «среднее ± стандартное отклонение»; многометрической оценкой (weighted F1, ROC-AUC, Cohen's Kappa с квадратичными весами, accuracy); статистической проверкой гипотез (тесты Макнемара, ДеЛонга), моделями со смешанными эффектами по фолдам, бутстреп-доверительными интервалами (≥ 1000 ресэмплов) и поправками Бонферрони/Холма; критериями успеха, зафиксированными до экспериментов, которые их проверяли, — критерий, написанный после того, как результат стал известен, может быть удовлетворён всегда, поэтому информативной классификацию делает именно порядок. Работа дополнительно помещается в контекст опубликованных систем, но не ранжируется среди них, поскольку никакие две сопоставляемые записи не совпадают одновременно по постановке задачи, корпусу, эталонному стандарту и метрике. Два ограничения этого аппарата заявляются, а не откладываются: поправка на множественные сравнения ограничена тем единственным экспериментом, в рамках которого сравнения планировались, поэтому общедиссертационная вероятность ошибки не заявляется; и ряд оценок опирается на модели одного обученного фолда, поэтому их интервалы количественно описывают лишь выборку оценочного корпуса и занижают полную неопределённость в известную сторону. Третье: один эксперимент опирается на клинический корпус, не подлежащий перераспространению, поэтому внешне невоспроизводим, а калибровка — эмпирическое свойство выходных вероятностей модели, а не гарантия надёжности клинических решений.</w:t>
      </w:r>
    </w:p>
    <w:p>
      <w:pPr>
        <w:keepNext/>
        <w:spacing w:before="240" w:after="120"/>
        <w:jc w:val="left"/>
      </w:pPr>
      <w:r>
        <w:rPr>
          <w:rFonts w:ascii="Times New Roman" w:hAnsi="Times New Roman" w:cs="Times New Roman" w:eastAsia="Times New Roman"/>
          <w:b/>
          <w:i w:val="0"/>
          <w:sz w:val="28"/>
          <w:u w:val="none"/>
        </w:rPr>
        <w:t>Апробация результатов и связь с научными программами</w:t>
      </w:r>
    </w:p>
    <w:p>
      <w:pPr>
        <w:ind w:firstLine="709"/>
        <w:jc w:val="both"/>
      </w:pPr>
      <w:r>
        <w:rPr>
          <w:rFonts w:ascii="Times New Roman" w:hAnsi="Times New Roman" w:cs="Times New Roman" w:eastAsia="Times New Roman"/>
          <w:b w:val="0"/>
          <w:i w:val="0"/>
          <w:sz w:val="28"/>
          <w:u w:val="none"/>
        </w:rPr>
        <w:t>Результаты исследования докладывались и обсуждались на международных научных форумах, в том числе на 3-м Международном семинаре «Цифровое общество» (DS 2025, г. Стамбул, Турция, 28–30 октября 2025 г.), и опубликованы в международных рецензируемых журналах; пять работ перечислены ниже.</w:t>
      </w:r>
    </w:p>
    <w:p>
      <w:pPr>
        <w:ind w:firstLine="709"/>
        <w:jc w:val="both"/>
      </w:pPr>
      <w:r>
        <w:rPr>
          <w:rFonts w:ascii="Times New Roman" w:hAnsi="Times New Roman" w:cs="Times New Roman" w:eastAsia="Times New Roman"/>
          <w:b w:val="0"/>
          <w:i w:val="0"/>
          <w:sz w:val="28"/>
          <w:u w:val="none"/>
        </w:rPr>
        <w:t>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Послания Президента Республики Казахстан «Казахстан в эпоху искусственного интеллекта» (8 сентября 2025 г.); и Закона Республики Казахстан «Об искусственном интеллекте» (№ 230-VIII, 17 ноября 2025 г.). Работа выполнена в соответствии с подп. 2 п. 3 ст. 20 Закона Республики Казахстан «О науке».</w:t>
      </w:r>
    </w:p>
    <w:p>
      <w:pPr>
        <w:ind w:firstLine="709"/>
        <w:jc w:val="both"/>
      </w:pPr>
      <w:r>
        <w:rPr>
          <w:rFonts w:ascii="Times New Roman" w:hAnsi="Times New Roman" w:cs="Times New Roman" w:eastAsia="Times New Roman"/>
          <w:b w:val="0"/>
          <w:i w:val="0"/>
          <w:sz w:val="28"/>
          <w:u w:val="none"/>
        </w:rPr>
        <w:t>Речь идёт о соответствии направления исследования опубликованным национальным приоритетам: это не утверждение о финансировании в рамках государственной программы, о заказе какого-либо органа или об институциональном мандате и не заявление о достижении настоящим исследованием какой-либо программной цели.</w:t>
      </w:r>
    </w:p>
    <w:p>
      <w:pPr>
        <w:keepNext/>
        <w:spacing w:before="240" w:after="120"/>
        <w:jc w:val="left"/>
      </w:pPr>
      <w:r>
        <w:rPr>
          <w:rFonts w:ascii="Times New Roman" w:hAnsi="Times New Roman" w:cs="Times New Roman" w:eastAsia="Times New Roman"/>
          <w:b/>
          <w:i w:val="0"/>
          <w:sz w:val="28"/>
          <w:u w:val="none"/>
        </w:rPr>
        <w:t>Публикации</w:t>
      </w:r>
    </w:p>
    <w:p>
      <w:pPr>
        <w:ind w:firstLine="709"/>
        <w:jc w:val="both"/>
      </w:pPr>
      <w:r>
        <w:rPr>
          <w:rFonts w:ascii="Times New Roman" w:hAnsi="Times New Roman" w:cs="Times New Roman" w:eastAsia="Times New Roman"/>
          <w:b w:val="0"/>
          <w:i w:val="0"/>
          <w:sz w:val="28"/>
          <w:u w:val="none"/>
        </w:rPr>
        <w:t>Основные результаты диссертации опубликованы в 5 научных работах, в том числе: статьи в журналах, индексируемых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доклад в материалах международной конференции, индексируемых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статьи в журналах, рекомендованных ККСОН Республики Казахстан — 3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Статьи в журналах, индексируемых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Доклады в материалах международных конференций, индексируемых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г. Стамбул, Турция). https://doi.org/10.1016/j.procs.2025.10.237</w:t>
      </w:r>
    </w:p>
    <w:p>
      <w:pPr>
        <w:ind w:firstLine="709"/>
        <w:jc w:val="both"/>
      </w:pPr>
      <w:r>
        <w:rPr>
          <w:rFonts w:ascii="Times New Roman" w:hAnsi="Times New Roman" w:cs="Times New Roman" w:eastAsia="Times New Roman"/>
          <w:b/>
          <w:i w:val="0"/>
          <w:sz w:val="28"/>
          <w:u w:val="none"/>
        </w:rPr>
        <w:t>Статьи в журналах, рекомендованных ККСОН Республики Казахстан:</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Известия НАН РК, серия физико-математическая.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 Т. 22. — С.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Вестник КазУТБ. — 2025. — Т. 2, № 27-740. https://doi.org/10.58805/kazutb.v.2.27-740</w:t>
      </w:r>
    </w:p>
    <w:p>
      <w:pPr>
        <w:keepNext/>
        <w:spacing w:before="240" w:after="120"/>
        <w:jc w:val="left"/>
      </w:pPr>
      <w:r>
        <w:rPr>
          <w:rFonts w:ascii="Times New Roman" w:hAnsi="Times New Roman" w:cs="Times New Roman" w:eastAsia="Times New Roman"/>
          <w:b/>
          <w:i w:val="0"/>
          <w:sz w:val="28"/>
          <w:u w:val="none"/>
        </w:rPr>
        <w:t>Основное содержание работы</w:t>
      </w:r>
    </w:p>
    <w:p>
      <w:pPr>
        <w:ind w:firstLine="709"/>
        <w:jc w:val="both"/>
      </w:pPr>
      <w:r>
        <w:rPr>
          <w:rFonts w:ascii="Times New Roman" w:hAnsi="Times New Roman" w:cs="Times New Roman" w:eastAsia="Times New Roman"/>
          <w:b/>
          <w:i w:val="0"/>
          <w:sz w:val="28"/>
          <w:u w:val="none"/>
        </w:rPr>
        <w:t>Во введении</w:t>
      </w:r>
      <w:r>
        <w:rPr>
          <w:rFonts w:ascii="Times New Roman" w:hAnsi="Times New Roman" w:cs="Times New Roman" w:eastAsia="Times New Roman"/>
          <w:b w:val="0"/>
          <w:i w:val="0"/>
          <w:sz w:val="28"/>
          <w:u w:val="none"/>
        </w:rPr>
        <w:t xml:space="preserve"> обоснована актуальность темы, сформулированы цель, задачи, объект и предмет исследования, центральная гипотеза, научная новизна, положения, выносимые на защиту, методологическая основа, теоретическая и практическая значимость, достоверность результатов, эмпирическая база, апробация, связь с научными программами и публикации, описаны структура и объём диссертации.</w:t>
      </w:r>
    </w:p>
    <w:p>
      <w:pPr>
        <w:ind w:firstLine="709"/>
        <w:jc w:val="both"/>
      </w:pPr>
      <w:r>
        <w:rPr>
          <w:rFonts w:ascii="Times New Roman" w:hAnsi="Times New Roman" w:cs="Times New Roman" w:eastAsia="Times New Roman"/>
          <w:b/>
          <w:i w:val="0"/>
          <w:sz w:val="28"/>
          <w:u w:val="none"/>
        </w:rPr>
        <w:t>Глава 1 — «Автоматизированный скрининг диабетической ретинопатии»</w:t>
      </w:r>
      <w:r>
        <w:rPr>
          <w:rFonts w:ascii="Times New Roman" w:hAnsi="Times New Roman" w:cs="Times New Roman" w:eastAsia="Times New Roman"/>
          <w:b w:val="0"/>
          <w:i w:val="0"/>
          <w:sz w:val="28"/>
          <w:u w:val="none"/>
        </w:rPr>
        <w:t xml:space="preserve"> устанавливает клинический и технический контекст скрининга: пятиклассовую порядковую градацию заболевания и клиническую цену ошибки градации, требования к скринингу в условиях ограниченных ресурсов, физику лазерной коагуляции как ограниченный теоретический контекст направления на лечение, источники потери качества изображений глазного дна и её приборную составляющую, достигнутое в области средствами свёрточных сетей (архитектуры, перенос знаний и самообучаемое предобучение, интерпретируемость), а также критический анализ существующих автоматизированных систем скрининга и условий, ограничивающих приводимые в них показатели, и завершается формулировкой научной проблемы и обоснованием направления исследования.</w:t>
      </w:r>
    </w:p>
    <w:p>
      <w:pPr>
        <w:ind w:firstLine="709"/>
        <w:jc w:val="both"/>
      </w:pPr>
      <w:r>
        <w:rPr>
          <w:rFonts w:ascii="Times New Roman" w:hAnsi="Times New Roman" w:cs="Times New Roman" w:eastAsia="Times New Roman"/>
          <w:b/>
          <w:i w:val="0"/>
          <w:sz w:val="28"/>
          <w:u w:val="none"/>
        </w:rPr>
        <w:t>Глава 2 — «Методология интегрированного конвейера»</w:t>
      </w:r>
      <w:r>
        <w:rPr>
          <w:rFonts w:ascii="Times New Roman" w:hAnsi="Times New Roman" w:cs="Times New Roman" w:eastAsia="Times New Roman"/>
          <w:b w:val="0"/>
          <w:i w:val="0"/>
          <w:sz w:val="28"/>
          <w:u w:val="none"/>
        </w:rPr>
        <w:t xml:space="preserve"> специфицирует интегрированную методологию. Она формализует 8-этапный конвейер предобработки поэтапно вместе с теоретическими основаниями каждого этапа — каноническую ориентацию и нормализацию поворота по опорным точкам, изотропное масштабирование с центрированным дополнением, маску поля зрения как четвёртый входной канал, адаптивную flat-field-коррекцию, масштабируемую по геометрии каждого изображения, и порог CLAHE с двойным ограничением, формализованный как минимум гистограммного и плиточного ограничений и применяемый стохастически при обучении. Далее специфицируются архитектуры классификации (ResNet-50 и EfficientNet-B3) и их адаптация к пятиклассовой градации со взвешенной (Focal) функцией потерь, стратегия предобучения и дообучения с приёмочным гейтом линейного зонда при замороженном экстракторе признаков, аппарат интерпретируемости (Grad-CAM, метрика перекрытия «внимание–очаг», IoU) с метриками качества изображений, а также иерархия оценивания и статистический протокол.</w:t>
      </w:r>
    </w:p>
    <w:p>
      <w:pPr>
        <w:ind w:firstLine="709"/>
        <w:jc w:val="both"/>
      </w:pPr>
      <w:r>
        <w:rPr>
          <w:rFonts w:ascii="Times New Roman" w:hAnsi="Times New Roman" w:cs="Times New Roman" w:eastAsia="Times New Roman"/>
          <w:b/>
          <w:i w:val="0"/>
          <w:sz w:val="28"/>
          <w:u w:val="none"/>
        </w:rPr>
        <w:t>Глава 3 — «Результаты экспериментов»</w:t>
      </w:r>
      <w:r>
        <w:rPr>
          <w:rFonts w:ascii="Times New Roman" w:hAnsi="Times New Roman" w:cs="Times New Roman" w:eastAsia="Times New Roman"/>
          <w:b w:val="0"/>
          <w:i w:val="0"/>
          <w:sz w:val="28"/>
          <w:u w:val="none"/>
        </w:rPr>
        <w:t xml:space="preserve"> излагает экспериментальную программу на уровневом корпусе: наборы данных и конфигурацию экспериментов; влияние конвейера на точность в факторном плане 2×2 (Эксперимент 1); кумулятивную абляцию этапов со свипами порога CLAHE и σ flat-field-коррекции (Эксперимент 2); прямое измерение расстояния «источник—цель» в пространстве признаков предпоследнего слоя на шести внешних корпусах; межнаборный перенос на APTOS 2019 и внешнюю клиническую оценку на IDRiD и Messidor-2 (Эксперименты 3 и 5) с поведением по группировкам камер (Эксперимент 6); согласованность карт внимания с экспертной пиксельной разметкой очагов (Эксперимент 4); обучение на малых клинических выборках (Эксперимент 7); а также статистическую валидацию и помещение результатов в контекст опубликованных систем без ранжирования среди них, завершаясь ограничениями и граничными условиями подхода.</w:t>
      </w:r>
    </w:p>
    <w:p>
      <w:pPr>
        <w:ind w:firstLine="709"/>
        <w:jc w:val="both"/>
      </w:pPr>
      <w:r>
        <w:rPr>
          <w:rFonts w:ascii="Times New Roman" w:hAnsi="Times New Roman" w:cs="Times New Roman" w:eastAsia="Times New Roman"/>
          <w:b/>
          <w:i w:val="0"/>
          <w:sz w:val="28"/>
          <w:u w:val="none"/>
        </w:rPr>
        <w:t>Глава 4 — «Система скрининга»</w:t>
      </w:r>
      <w:r>
        <w:rPr>
          <w:rFonts w:ascii="Times New Roman" w:hAnsi="Times New Roman" w:cs="Times New Roman" w:eastAsia="Times New Roman"/>
          <w:b w:val="0"/>
          <w:i w:val="0"/>
          <w:sz w:val="28"/>
          <w:u w:val="none"/>
        </w:rPr>
        <w:t xml:space="preserve"> описывает систему скрининга, построенную вокруг модели, последовательно разграничивая реализованное и оставшееся спецификацией: модульную архитектуру и её модули, сервисы предобработки и инференса с их интерфейсом, клинический рабочий процесс и интерфейс оператора, в котором офтальмолог просматривает случай и фиксирует вердикт, а также среду развёртывания и систему защиты данных (согласованную с GDPR/HIPAA по замыслу), с применимостью к инфраструктуре здравоохранения Казахстана, ограниченной отсутствием полевых испытаний в стране.</w:t>
      </w:r>
    </w:p>
    <w:p>
      <w:pPr>
        <w:keepNext/>
        <w:spacing w:before="240" w:after="120"/>
        <w:jc w:val="left"/>
      </w:pPr>
      <w:r>
        <w:rPr>
          <w:rFonts w:ascii="Times New Roman" w:hAnsi="Times New Roman" w:cs="Times New Roman" w:eastAsia="Times New Roman"/>
          <w:b/>
          <w:i w:val="0"/>
          <w:sz w:val="28"/>
          <w:u w:val="none"/>
        </w:rPr>
        <w:t>Личный вклад автора</w:t>
      </w:r>
    </w:p>
    <w:p>
      <w:pPr>
        <w:ind w:firstLine="709"/>
        <w:jc w:val="both"/>
      </w:pPr>
      <w:r>
        <w:rPr>
          <w:rFonts w:ascii="Times New Roman" w:hAnsi="Times New Roman" w:cs="Times New Roman" w:eastAsia="Times New Roman"/>
          <w:b w:val="0"/>
          <w:i w:val="0"/>
          <w:sz w:val="28"/>
          <w:u w:val="none"/>
        </w:rPr>
        <w:t>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(парадигма P2); разработка и формальная спецификация 8-этапного конвейера предобработки, включая стохастический CLAHE с двойным ограничением, адаптивную flat-field-коррекцию и входной канал маски FOV; метрика интерпретируемости перекрытия «внимание–очаг» (ALO); контролируемый план экспериментов и система статистической валидации; а также архитектура автоматизированной системы скрининга ДР. В совместных публикациях автором разработаны методы предобработки и анализа изображений глазного дна и подготовлены соответствующие части рукописей.</w:t>
      </w:r>
    </w:p>
    <w:p>
      <w:pPr>
        <w:keepNext/>
        <w:spacing w:before="240" w:after="120"/>
        <w:jc w:val="left"/>
      </w:pPr>
      <w:r>
        <w:rPr>
          <w:rFonts w:ascii="Times New Roman" w:hAnsi="Times New Roman" w:cs="Times New Roman" w:eastAsia="Times New Roman"/>
          <w:b/>
          <w:i w:val="0"/>
          <w:sz w:val="28"/>
          <w:u w:val="none"/>
        </w:rPr>
        <w:t>Структура и объём диссертации</w:t>
      </w:r>
    </w:p>
    <w:p>
      <w:pPr>
        <w:ind w:firstLine="709"/>
        <w:jc w:val="both"/>
      </w:pPr>
      <w:r>
        <w:rPr>
          <w:rFonts w:ascii="Times New Roman" w:hAnsi="Times New Roman" w:cs="Times New Roman" w:eastAsia="Times New Roman"/>
          <w:b w:val="0"/>
          <w:i w:val="0"/>
          <w:sz w:val="28"/>
          <w:u w:val="none"/>
        </w:rPr>
        <w:t>Диссертация состоит из предваряющих разделов — нормативных ссылок, определений, обозначений и сокращений, — за которыми следуют введение, четыре главы, заключение, список использованных источников и пять приложений: исходный код конвейера предобработки, дополнительные экспериментальные результаты и матрицы ошибок, архитектура системы и работающий демонстратор, галерея карт внимания и дополнительные таблицы по оценке доменного сдвига на устройствах.</w:t>
      </w:r>
    </w:p>
    <w:p>
      <w:pPr>
        <w:ind w:firstLine="709"/>
        <w:jc w:val="both"/>
      </w:pPr>
      <w:r>
        <w:rPr>
          <w:rFonts w:ascii="Times New Roman" w:hAnsi="Times New Roman" w:cs="Times New Roman" w:eastAsia="Times New Roman"/>
          <w:b w:val="0"/>
          <w:i w:val="0"/>
          <w:sz w:val="28"/>
          <w:u w:val="none"/>
        </w:rPr>
        <w:t>Диссертация изложена на 118 страницах и содержит 19 таблиц и 16 рисунков. Список использованных источников насчитывает 102 наименования.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