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40" w:lineRule="auto" w:before="0" w:after="40"/>
        <w:ind w:firstLine="0" w:left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Халықаралық ақпараттық технологиялар университеті</w:t>
      </w:r>
    </w:p>
    <w:p>
      <w:pPr>
        <w:tabs>
          <w:tab w:pos="9638" w:val="right"/>
        </w:tabs>
        <w:spacing w:line="240" w:lineRule="auto" w:before="360" w:after="0"/>
        <w:ind w:firstLine="0" w:left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ӘОЖ: 004.93:617.735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Қолжазба құқығында</w:t>
      </w: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 w:before="0" w:after="0"/>
        <w:ind w:firstLine="0" w:left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ЕСМУХАМЕДОВ НҰРМАҒАНБЕТ СЕЙТҚАЛИҰЛЫ</w:t>
      </w: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 w:before="0" w:after="120"/>
        <w:ind w:firstLine="0" w:left="0"/>
        <w:jc w:val="center"/>
      </w:pPr>
      <w:r>
        <w:rPr>
          <w:rFonts w:ascii="Times New Roman" w:hAnsi="Times New Roman" w:cs="Times New Roman" w:eastAsia="Times New Roman"/>
          <w:b/>
          <w:i w:val="0"/>
          <w:sz w:val="32"/>
          <w:u w:val="none"/>
        </w:rPr>
        <w:t>Компьютерлік өңдеу жүйесі және көз түбі деректерін талдаумен диабеттік ретинопатияны емдеу кезіндегі лазерлік коагуляцияны қолдау</w:t>
      </w:r>
    </w:p>
    <w:p>
      <w:pPr>
        <w:spacing w:line="240" w:lineRule="auto" w:before="240" w:after="0"/>
        <w:ind w:firstLine="0" w:left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8D06102 – Компьютерлік және программалық инженерия</w:t>
      </w:r>
    </w:p>
    <w:p>
      <w:pPr>
        <w:spacing w:line="240" w:lineRule="auto"/>
        <w:ind w:firstLine="0"/>
      </w:pPr>
    </w:p>
    <w:p>
      <w:pPr>
        <w:spacing w:line="240" w:lineRule="auto" w:before="0" w:after="0"/>
        <w:ind w:firstLine="0" w:left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Философия докторы (PhD) дәрежесін</w:t>
      </w:r>
    </w:p>
    <w:p>
      <w:pPr>
        <w:spacing w:line="240" w:lineRule="auto" w:before="0" w:after="0"/>
        <w:ind w:firstLine="0" w:left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алуға арналған диссертация</w:t>
      </w: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 w:before="0" w:after="0"/>
        <w:ind w:firstLine="0" w:left="4819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Ғылыми консультанты</w:t>
      </w:r>
    </w:p>
    <w:p>
      <w:pPr>
        <w:spacing w:line="240" w:lineRule="auto" w:before="0" w:after="0"/>
        <w:ind w:firstLine="0" w:left="4819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физика-математика ғылымдарының кандидаты,</w:t>
      </w:r>
    </w:p>
    <w:p>
      <w:pPr>
        <w:spacing w:line="240" w:lineRule="auto" w:before="0" w:after="0"/>
        <w:ind w:firstLine="0" w:left="4819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қауымдастырылған профессор, Халықаралық ақпараттық технологиялар университеті</w:t>
      </w:r>
    </w:p>
    <w:p>
      <w:pPr>
        <w:spacing w:line="240" w:lineRule="auto" w:before="0" w:after="0"/>
        <w:ind w:firstLine="0" w:left="4819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Сапакова С.З.</w:t>
      </w:r>
    </w:p>
    <w:p>
      <w:pPr>
        <w:spacing w:line="240" w:lineRule="auto" w:before="0" w:after="0"/>
        <w:ind w:firstLine="0" w:left="4819"/>
        <w:jc w:val="left"/>
      </w:pPr>
    </w:p>
    <w:p>
      <w:pPr>
        <w:spacing w:line="240" w:lineRule="auto" w:before="0" w:after="0"/>
        <w:ind w:firstLine="0" w:left="4819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Шетелдік ғылыми консультанты</w:t>
      </w:r>
    </w:p>
    <w:p>
      <w:pPr>
        <w:spacing w:line="240" w:lineRule="auto" w:before="0" w:after="0"/>
        <w:ind w:firstLine="0" w:left="4819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профессор, Universiti Putra Malaysia</w:t>
      </w:r>
    </w:p>
    <w:p>
      <w:pPr>
        <w:spacing w:line="240" w:lineRule="auto" w:before="0" w:after="0"/>
        <w:ind w:firstLine="0" w:left="4819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Al-Haddad S.A.R.</w:t>
      </w: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 w:before="0" w:after="0"/>
        <w:ind w:firstLine="0" w:left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Қазақстан Республикасы</w:t>
      </w:r>
    </w:p>
    <w:p>
      <w:pPr>
        <w:spacing w:line="240" w:lineRule="auto" w:before="0" w:after="0"/>
        <w:ind w:firstLine="0" w:left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Алматы, 2026</w:t>
      </w:r>
    </w:p>
    <w:p>
      <w:r>
        <w:br w:type="page"/>
      </w:r>
    </w:p>
    <w:p>
      <w:pPr>
        <w:spacing w:after="240"/>
        <w:jc w:val="center"/>
      </w:pPr>
      <w:r>
        <w:rPr>
          <w:rFonts w:ascii="Times New Roman" w:hAnsi="Times New Roman" w:cs="Times New Roman" w:eastAsia="Times New Roman"/>
          <w:b/>
          <w:i w:val="0"/>
          <w:sz w:val="32"/>
          <w:u w:val="none"/>
        </w:rPr>
        <w:t>МАЗМҰНЫ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НОРМАТИВТІК СІЛТЕМЕЛЕР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ab/>
        <w:t>—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БЕЛГІЛЕУЛЕР МЕН ҚЫСҚАРТУЛАР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ab/>
        <w:t>—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АНЫҚТАМАЛАР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ab/>
        <w:t>—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КІРІСПЕ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ab/>
        <w:t>2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1 ДИАБЕТТІК РЕТИНОПАТИЯНЫҢ АВТОМАТТАНДЫРЫЛҒАН СКРИНИНГІ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ab/>
        <w:t>9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1.1 Диабеттік ретинопатия және скрининг қажеттілігі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9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1.2 Көз түбі кескінінің сапасы мен вариабельділігі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12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1.3 Ретинальды кескіндерге арналған конволюциялық желілер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15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1.4 Қолданыстағы автоматтандырылған скрининг жүйелері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17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1.5 Мәселенің қойылымы және зерттеу бағыты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20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1-бөлім бойынша қорытындылар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22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2 ИНТЕГРАЦИЯЛАНҒАН КОНВЕЙЕР ӘДІСНАМАСЫ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ab/>
        <w:t>23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2.1 Алдын ала өңдеу конвейерін формальдау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23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2.2 Клип-лимитті формальдау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34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2.3 Жіктеу архитектуралары және бейімдеу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37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2.4 Алдын ала оқыту және дәлдеп баптау стратегиясы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40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2.5 Түсіндірілімділік және сапа өлшемдері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43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2.6 Бағалау және статистикалық хаттама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46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2-бөлім бойынша қорытындылар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49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3 ЭКСПЕРИМЕНТ НӘТИЖЕЛЕРІ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ab/>
        <w:t>51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3.1 Деректер жиынтықтары және эксперимент конфигурациясы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51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3.2 Конвейердің дәлдікке әсері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56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3.3 Кезеңдік абляция және параметрлік сезімталдық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62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3.4 Белгілер кеңістігіндегі домен қашықтығы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67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3.5 Корпусаралық және сыртқы тасымалдау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70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3.6 Назар карталары және зақымданумен үйлесімі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75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3.7 Шағын клиникалық іріктемеде оқыту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79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3.8 Статистикалық валидация және салыстырмалы талдау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81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3.9 Шектеулер және қолданылу шекаралары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86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3-бөлім бойынша қорытындылар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88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4 СКРИНИНГ ЖҮЙЕСІ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ab/>
        <w:t>90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4.1 Жүйе архитектурасы және модульдері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90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4.2 Алдын ала өңдеу және инференс сервистері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92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4.3 Клиникалық жұмыс ағыны және оператор интерфейсі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93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4.4 Орналастыру және деректерді қорғау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95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4-бөлім бойынша қорытындылар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97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ҚОРЫТЫНДЫ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ab/>
        <w:t>98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ПАЙДАЛАНЫЛҒАН ӘДЕБИЕТТЕР ТІЗІМІ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ab/>
        <w:t>101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ҚОСЫМША А – Алдын ала өңдеу конвейерінің бастапқы коды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ab/>
        <w:t>110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ҚОСЫМША Ә – Қосымша нәтижелер және шатасу матрицалары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ab/>
        <w:t>115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ҚОСЫМША Б – Жүйе архитектурасы және жұмыс істеп тұрған демонстратор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ab/>
        <w:t>121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ҚОСЫМША В – Назар карталарының галереясы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ab/>
        <w:t>131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ҚОСЫМША Г – Құрылғылық домен ығысуы бойынша қосымша кестелер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ab/>
        <w:t>135</w:t>
      </w:r>
    </w:p>
    <w:p>
      <w:r>
        <w:br w:type="page"/>
      </w:r>
    </w:p>
    <w:p>
      <w:pPr>
        <w:keepNext/>
        <w:spacing w:before="240" w:after="120"/>
        <w:jc w:val="center"/>
      </w:pPr>
      <w:r>
        <w:rPr>
          <w:rFonts w:ascii="Times New Roman" w:hAnsi="Times New Roman" w:cs="Times New Roman" w:eastAsia="Times New Roman"/>
          <w:b/>
          <w:i w:val="0"/>
          <w:sz w:val="32"/>
          <w:u w:val="none"/>
        </w:rPr>
        <w:t>НОРМАТИВТІК СІЛТЕМЕЛЕР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Бұл диссертацияда келесі стандарттарға сілтемелер пайдаланылды: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Диссертация мен авторефератты ресімдеу жөніндегі нұсқаулық, Қазақстан Республикасы Білім және ғылым министрлігінің Жоғары аттестаттау комитеті, 2004 жылғы 28 қыркүйектегі № 377-3 ж.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ГОСТ 7.32-2001. Ғылыми-зерттеу жұмысы туралы есеп. Құрылымы және ресімдеу ережелері.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ГОСТ 7.1-2003. Библиографиялық жазба. Библиографиялық сипаттама. Жалпы талаптар мен жасау ережелері.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СТ ҚР 34.005-2002. Ақпараттық технология. Негізгі терминдер мен анықтамалар (бірінші басылым).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СТ ҚР 34.015-2002. Ақпараттық технология. Автоматтандырылған жүйелер стандарттарының жиынтығы. Ақпараттық жүйені құруға арналған техникалық тапсырма (бірінші басылым).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СТ ҚР 34.027-2006. Ақпараттық технологиялар. Бағдарламалық құралдарды жіктеу (бірінші басылым).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СТ ҚР 34.014-2002. Ақпараттық технология. Автоматтандырылған жүйелер стандарттарының жиынтығы. Автоматтандырылған жүйелер. Терминдер мен анықтамалар.</w:t>
      </w:r>
    </w:p>
    <w:p>
      <w:r>
        <w:br w:type="page"/>
      </w:r>
    </w:p>
    <w:p>
      <w:pPr>
        <w:keepNext/>
        <w:spacing w:before="240" w:after="120"/>
        <w:jc w:val="center"/>
      </w:pPr>
      <w:r>
        <w:rPr>
          <w:rFonts w:ascii="Times New Roman" w:hAnsi="Times New Roman" w:cs="Times New Roman" w:eastAsia="Times New Roman"/>
          <w:b/>
          <w:i w:val="0"/>
          <w:sz w:val="32"/>
          <w:u w:val="none"/>
        </w:rPr>
        <w:t>БЕЛГІЛЕУЛЕР МЕН ҚЫСҚАРТУЛАР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AI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Artificial Intelligence (жасанды интеллект)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ALO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Attention–Lesion Overlap (explainability метрикасы)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APTOS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Asia Pacific Tele-Ophthalmology Society (2019 Blindness Detection деректер жиынтығы)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AUC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Area Under the Curve (қисық астындағы аудан)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BYOL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Bootstrap Your Own Latent (өзін-өзі бақылаусыз оқыту әдісі)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CAM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Class Activation Mapping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CFC-n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Claim Formulation Constraint n (тұжырымды тұжырымдау шектеуі: мәлімдеменің қандай түрде айтылуы мүмкін екенін реттейтін ереже; CFC-2 сериясы диссертация өзіне тыйым салған тұжырым түрлерін тізеді)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CLAHE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Contrast-Limited Adaptive Histogram Equalization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CNN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Convolutional Neural Network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CNR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Contrast-to-Noise Ratio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DDR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Диабеттік ретинопатияны градациялау деректер жиынтығы (DDR)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DGL-n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Deployment and Generalization Limitation n (енгізу және жалпылау шектеуі: нәтижені ол алынған жағдайлардан тыс қаншалықты тасымалдауға болатынын шектейді)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DINO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self-Distillation with No labels (өзін-өзі бақылаусыз оқыту әдісі)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DR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Diabetic Retinopathy (диабеттік ретинопатия)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ECE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Expected Calibration Error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EH-n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Evidence Hierarchy rule n (дәлел иерархиясының ережесі: метрикалардың дәлелдік салмағы бойынша реттелуі және нәтиженің шешуші саналуы үшін қанағаттандыруға тиіс өлшемшарттары)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EHR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Electronic Health Record (электрондық денсаулық жазбасы)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EMD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Earth Mover's Distance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EyePACS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Eye Picture Archive Communication System (DR деректер жиынтығы)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FOV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Field of View (көру өрісі)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GDPR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General Data Protection Regulation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Grad-CAM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Gradient-weighted Class Activation Mapping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HIPAA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Health Insurance Portability and Accountability Act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IDRiD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Indian Diabetic Retinopathy Image Dataset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IoU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Intersection over Union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KL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Kullback–Leibler дивергенциясы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LAB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CIELAB түс кеңістігі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MLP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Multilayer Perceptron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MoCo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Momentum Contrast (өзін-өзі бақылаусыз оқыту әдісі)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NC-n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Non-Claim n (мәлімделмейтін тұжырым: диссертация әдейі айтпайтын пікір – нәтижелері оны айтқан деп оқылмауы үшін тіркелген)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NPV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Negative Predictive Value (теріс болжамдық мән)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OD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Optic Disc (көру дискісі)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OD-n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Operational Definition n (операциялық анықтама: диссертация терминінің қалай өлшенетінін белгілейді; жоғарыдағы OD – көру дискісі – таңбасынан бөлек, ол ешқашан нөмірмен жазылмайды)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ODIR-5K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Ocular Disease Intelligent Recognition деректер жиынтығы (5000 пациент)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PACS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Picture Archiving and Communication System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PC-n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Primary Claim n (негізгі тұжырым: диссертация дәйегінің нөмірленген тұжырымы, әрқайсысы өз дәлелі мен бағаланған күшін алып жүреді)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PPV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Positive Predictive Value (оң болжамдық мән)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ReLU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Rectified Linear Unit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RFMiD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Retinal Fundus Multi-disease Image Dataset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RIQA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Retinal Image Quality Assessment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ROC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Receiver Operating Characteristic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SB-n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Scope Boundary n (қолданылу шекарасы: диссертация нені мәлімдемейтінін көрсететін тұжырым)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SimCLR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Simple framework for Contrastive Learning of Representations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SIR-n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Source Interpretation Rule n (дереккөзді талқылау ережесі: дәйексөз алынған дереккөзге нені таңуға болатынын шектейді)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SSIM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Structural Similarity Index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SSL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Self-Supervised Learning (өзін-өзі бақылаусыз оқыту)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STARE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Structured Analysis of the Retina (деректер жиынтығы)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UML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Unified Modeling Language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VRAM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Video Random-Access Memory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VVI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Vessel Visibility Index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WSL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Windows Subsystem for Linux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XAI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Explainable Artificial Intelligence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D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Көру өрісінің (FOV) диаметрі, пиксельмен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CL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CLAHE түрлендіруінің клип-лимиті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F1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F1-score (precision және recall гармоникалық орташасы)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G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Жалпылау коэффициенті, G = F1_external / F1_EyePACS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T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Қос шектеулі CLAHE-нің ғаламдық шектік мәні (T/80 формуляциясы)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α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Focal Loss класс салмағы параметрі (кері жиілік)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γ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Focal Loss фокустау параметрі (γ = 2)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κ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Квадраттық салмақтары бар Cohen's Kappa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σ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Flat-field correction-дегі Гаусс ядросының стандартты ауытқуы, σ = 0.07·D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ΔF1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Деректер жиынтығы аралық F1 төмендеуі, ΔF1 = F1_EyePACS − F1_external</w:t>
            </w:r>
          </w:p>
        </w:tc>
      </w:tr>
    </w:tbl>
    <w:p>
      <w:r>
        <w:br w:type="page"/>
      </w:r>
    </w:p>
    <w:p>
      <w:pPr>
        <w:keepNext/>
        <w:spacing w:before="240" w:after="120"/>
        <w:jc w:val="center"/>
      </w:pPr>
      <w:r>
        <w:rPr>
          <w:rFonts w:ascii="Times New Roman" w:hAnsi="Times New Roman" w:cs="Times New Roman" w:eastAsia="Times New Roman"/>
          <w:b/>
          <w:i w:val="0"/>
          <w:sz w:val="32"/>
          <w:u w:val="none"/>
        </w:rPr>
        <w:t>АНЫҚТАМАЛАР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Архитектуралық күрделілік (Architectural complexity)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– CNN сыйымдылығы, конволюциялық қабаттар саны, оқытылатын параметрлердің жалпы саны, сүзгі өлшемдерінің ауқымы және регуляризация компоненттерінің (batch normalization, dropout) болуы немесе болмауы арқылы анықталады.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Baseline (базалық тармақ)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– Эксперимент 1-дің анықтамалық конфигурациясы: 512×512-ге дейін созып-масштабтау, одан кейін ImageNet нормализациясы; FOV маскасы мен preprocessing кезеңдерінсіз 3 арналы тензор шығарады, магистраль ImageNet-тен инициализацияланады.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CLAHE (Contrast-Limited Adaptive Histogram Equalization)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– контрастты күшейтуді шектейтін шектік мәнмен жергілікті кескін плиткалары бойынша жұмыс істейтін адаптивті контрастты күшейту әдісі; конвейерде LAB L-арнасына қос шектеулі шектік мәнмен қолданылады (5-кезең).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Композиттік тәуелсіз айнымалы (Composite independent variable)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– Эксперимент 1-дің (H-1) біріктірілген басқарылатын факторы, мұнда толық конвейер тармағы baseline-нан preprocessing өсі (сегіз кезеңді конвейер vs. созып-масштабтау + ImageNet) және pretraining өсі (офтальмологияға бейімделген SSL vs. ImageNet) бойынша бірге ерекшеленеді.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Convolutional Neural Network (CNN)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– белгілерді шығаруға арналған конволюциялық және pooling қабаттарынан және жіктеуге арналған толық байланысқан қабаттардан тұратын нейрондық архитектура; алдын ала өңделген fundus кескіндерінде бес класты DR градациясын жасайтын жіктеу магистралі.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Cross-Validation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– 5 еселі, пациент деңгейінде стратификацияланған бөлуді пайдаланатын валидация стратегиясы; әр итерацияда төрт фолд оқыту, бір фолд тест ретінде қолданылады, бір пациенттің кескіндері екі бөлімде де болмайды; метрикалар орташа ± стандартты ауытқу түрінде беріледі.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Data Augmentation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– оқыту деректерінің вариабельділігін арттыру және жалпылауды жақсарту үшін қолданылатын кескін түрлендірулері (біртұтас аффинді, ColorJitter [жарықтылық/контраст/қанығу/реңк], Гаусс шуы, JPEG компрессия); конвейердің тек оқытуға арналған 6-кезеңі.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Деректер жиынтығына тән нормализация (Dataset-specific normalization)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– ImageNet статистикасының орнына негізгі деректер жиынтығының оқыту бөлігінен есептелген орташа мән мен стандартты ауытқуды пайдаланатын арна бойынша нормализация (7-кезең); толық конвейердің нормализациясы.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Диабеттік ретинопатия (Diabetic Retinopathy, DR)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– қант диабетінің микротамырлық асқынуы және алдын алуға болатын көру қабілетінен айырылудың жетекші себебі; бес ауырлық сатысында градацияланады (0 – жоқ, 1 – жеңіл, 2 – орташа, 3 – ауыр, 4 – пролиферативті).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Диагностикалық тиімділік (Diagnostic effectiveness)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– тест бөлімінде есептелген төрт негізгі метрика (accuracy, weighted F1-score, ROC-AUC және квадраттық салмақты Cohen's Kappa) бойынша бірлескен өнімділік профилі.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Domain Shift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– бейнелеу жабдығының, пациенттер популяциясының немесе алу хаттамаларының айырмашылықтарынан туындайтын оқыту деректері мен мақсатты деректер арасындағы таралымдық айырмашылық.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FOV маскасы (Field-of-View mask)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– 3-кезеңде жасалатын және 4-арна ретінде қосылатын бинарлық кеңістіктік маска (1.0 = нақты fundus деректері, 0.0 = нөлдік толтыру), CNN-ге нақты ретинальды пиксельдерді толтырылған фоннан ажыратуға мүмкіндік береді.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Flat-Field Correction (адаптивті)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– FOV маскасы ішінде біркелкі емес жарықтандыруды қалыпқа келтіретін, жергілікті контрастты сақтайтын адаптивті σ = 0.07·D (D = FOV диаметрі) бар Гаусс бұлыңғырлауын азайту; конвейердің 4-кезеңі.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Fundus кескіні (Fundus image)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– фундоскопия арқылы алынған ретинальды фотосурет; диссертацияның жалғыз бейнелеу модальділігі және preprocessing конвейері мен CNN жіктеуішінің кірісі.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Жалпылау (cross-database)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– сол бір оқытылған модельмен қайта оқытусыз екінші деректер жиынтығындағы тест F1-score-дың негізгі деректер жиынтығындағы тест F1-score-ға қатынасы; жалпылау коэффициенті G = F1_external / F1_EyePACS.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Grad-CAM (Gradient-weighted Class Activation Mapping)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– соңғы конволюциялық белгілер карталарының градиентпен өлшенген комбинациясынан класс-дискриминативті локализация карталарын жасайтын explainability әдісі; патологияны клиникалық локализациялау емес, интерпретация құралы.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Кескін сапасы (Image quality)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– fundus кескінінің DR градациясына қатысты микротамырлық белгілерді автоматты түрде анықтауды қолдаудың өлшенетін қабілеті; субъективті визуалды баға арқылы емес, төмен ағындағы жіктеу өнімділігі арқылы бағаланады.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Интеграцияланған конвейер үстемдігі (H-1)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– біріктірілген толық конвейер конфигурациясы baseline-нан біртұтас жүйе ретінде асып түседі деген негізгі гипотеза; эмпирикалық үстемдік критерийі (weighted F1 ≥ 5 пп өсу, ROC-AUC ≥ 0.02 өсу, Kappa нашарламауы) орындалғанда валидацияланады.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Офтальмологияға бейімделген өзін-өзі бақылаусыз алдын ала оқыту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– CNN магистралін белгіленбеген ретинальды fundus корпусында (DR белгілерінсіз) өзін-өзі бақылаусыз алдын ала оқыту; толық конвейер тармағының инициализациясы ретінде қолданылады, 4-арналы конвейер тензорында fundus-домен репрезентацияларын үйренеді.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Physician-in-the-Loop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– дәрігер AI шығысын тек тұтынушы ретінде емес, нәтижелерді интерпретациялайтын және жүйені баптайтын «баптаушы» әрі аудитор ретінде әрекет ететін жобалау парадигмасы; ұсынылған жүйе осы парадигма аясындағы шешім қабылдауды қолдау құралы.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Preprocessing Pipeline (алдын ала өңдеу конвейері)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– CNN кірісіне дейін fundus кескіндеріне қолданылатын канондық сегіз кезеңді реттелген тізбек (0–7 кезеңдер); толық конвейер барлық сегіз кезеңді қолданып, 4-арналы тензор (RGB + FOV маскасы) шығарады.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Ресурстары шектеулі орта (Resource-limited environment)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– келесілердің кемінде екеуімен сипатталатын орналастыру контексті: GPU үдетуінің болмауы; қолжетімді RAM 16 ГБ-тан төмен; пакеттік өңдеу уақытының шектеулері; үздіксіз бұлттық API-ге сенуге мүмкіндік бермейтін желілік байланыс.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Transfer Learning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– алдын ала оқытылған желі салмақтарын fundus-кескін доменіне қайта пайдалану және бейімдеу; H-1 бойынша инициализация көзі тармаққа бағынады (baseline үшін ImageNet, толық конвейер үшін офтальмологияға бейімделген SSL).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Weighted Loss Function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– класс теңсіздігін шешетін және бес класты DR градациясының реттік құрылымын пайдаланатын класс бойынша салмақтары бар кросс-энтропия шығын функциясы.</w:t>
      </w:r>
    </w:p>
    <w:sectPr w:rsidR="00FC693F" w:rsidRPr="0006063C" w:rsidSect="00034616">
      <w:footerReference w:type="default" r:id="rId9"/>
      <w:footerReference w:type="first" r:id="rId10"/>
      <w:pgSz w:w="11906" w:h="16838"/>
      <w:pgMar w:top="1134" w:right="567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Times New Roman"/>
        <w:b w:val="0"/>
        <w:i w:val="0"/>
        <w:sz w:val="28"/>
        <w:u w:val="none"/>
      </w:rPr>
      <w:fldChar w:fldCharType="begin"/>
      <w:instrText xml:space="preserve">PAGE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before="0" w:after="0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