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40" w:after="120"/>
        <w:jc w:val="center"/>
      </w:pPr>
      <w:r>
        <w:rPr>
          <w:rFonts w:ascii="Times New Roman" w:hAnsi="Times New Roman" w:cs="Times New Roman" w:eastAsia="Times New Roman"/>
          <w:b/>
          <w:i w:val="0"/>
          <w:sz w:val="32"/>
          <w:u w:val="none"/>
        </w:rPr>
        <w:t>ЭКСПЕРТНЫЙ ОТЗЫВ</w:t>
      </w:r>
    </w:p>
    <w:p>
      <w:pPr>
        <w:spacing w:after="0" w:before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на демонстрацию программного приложения,</w:t>
      </w:r>
    </w:p>
    <w:p>
      <w:pPr>
        <w:spacing w:after="0" w:before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разработанного в рамках диссертационной работы</w:t>
      </w:r>
    </w:p>
    <w:p>
      <w:pPr>
        <w:spacing w:after="0" w:before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Есмухамедова Нурмаганбета Сейткалиулы,</w:t>
      </w:r>
    </w:p>
    <w:p>
      <w:pPr>
        <w:spacing w:after="0" w:before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представленной на соискание степени доктора философии (PhD)</w:t>
      </w:r>
    </w:p>
    <w:p>
      <w:pPr>
        <w:spacing w:after="0" w:before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по образовательной программе 8D06102</w:t>
      </w:r>
    </w:p>
    <w:p>
      <w:pPr>
        <w:spacing w:after="0" w:before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«Компьютерная и программная инженерия»</w:t>
      </w:r>
    </w:p>
    <w:p>
      <w:pPr>
        <w:spacing w:before="0" w:after="0"/>
        <w:ind w:firstLine="0"/>
      </w:pP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Приложение предназначено для автоматизированной оценки степени тяжести диабетической ретинопатии по цветным изображениям глазного дна. На вход подаётся снимок глазного дна, полученный фундус-камерой; на выходе выдаются степень тяжести по пятиступенчатой шкале — от отсутствия ретинопатии до пролиферативной стадии — и отдельно выделенный признак случая, подлежащего направлению к специалисту. Работа с приложением ведётся через веб-интерфейс по адресу https://dr-classification.pages.dev. Настоящий отзыв отражает мою оценку продемонстрированного приложения с позиции практикующего врача-офтальмолога, ограничен рамками проведённой демонстрации и не является заключением о внедрении.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highlight w:val="yellow"/>
          <w:u w:val="none"/>
        </w:rPr>
        <w:t>&lt;дата&gt;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в </w:t>
      </w:r>
      <w:r>
        <w:rPr>
          <w:rFonts w:ascii="Times New Roman" w:hAnsi="Times New Roman" w:cs="Times New Roman" w:eastAsia="Times New Roman"/>
          <w:b w:val="0"/>
          <w:i w:val="0"/>
          <w:sz w:val="28"/>
          <w:highlight w:val="yellow"/>
          <w:u w:val="none"/>
        </w:rPr>
        <w:t>&lt;наименование медицинской организации&gt;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мне была представлена демонстрация указанного приложения. Приложение было показано в работе, а не в виде макета или презентационных материалов. Демонстрация проводилась на клинических снимках глазного дна, обезличенных до загрузки в приложение; сведения, позволяющие идентифицировать пациента, соискателю не передавались. Было продемонстрировано: 1) загрузка снимков обоих глаз одного пациента; 2) автоматическая проверка того, что загруженное изображение действительно является снимком глазного дна; 3) восемь этапов обработки изображения, показанных по шагам, с промежуточным результатом каждого; 4) оценка степени тяжести по пятиступенчатой шкале; 5) отдельный признак случая, подлежащего направлению к специалисту; 6) карта внимания модели поверх исходного снимка; 7) ручное указание врачом положения диска зрительного нерва и центральной ямки с последующим пересчётом обработки и оценки; 8) фиксация заключения врача о согласии либо несогласии с оценкой программы и сохранение материалов по пациенту. Соискателем были предъявлены количественные показатели работы системы: для выделения случаев, подлежащих направлению к специалисту, — чувствительность 0,8007 при специфичности 0,9636; по стадиям — 0,9333 на глазах без признаков ретинопатии против 0,2188 на начальной непролиферативной стадии.</w:t>
      </w:r>
    </w:p>
    <w:p>
      <w:pPr>
        <w:pageBreakBefore/>
        <w:spacing w:before="0" w:after="0"/>
      </w:pP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Основное внимание было уделено тому, что определяет приемлемость подобных систем в клинической работе: возможности понять, на каком основании получена оценка, и вмешаться в её получение. Помимо самой оценки, приложение отображает поверх снимка карту внимания модели: становится видно, рассматривала ли программа макулярную область и сосудистые аркады — зоны, где и следует ожидать проявлений ретинопатии, — или сосредоточилась на периферии и артефактах съёмки; во втором случае есть основание отнестись к оценке с осторожностью и переснять пациента. Считаю необходимым воспроизвести оговорку, которую соискатель сделал сам и которую полностью разделяю: карта внимания не является разметкой очагов поражения, не определяет их границ и не может использоваться как указание локализации патологии. Это средство контроля за работой программы, а не диагностический вывод.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Существенна и ручная коррекция опорных точек. При узком зрачке, помутнениях оптических сред и неудачном положении пациента автоматическое определение диска зрительного нерва и центральной ямки ошибается. Врач может указать их положение сам, после чего обработка и оценка пересчитываются заново: система допускает исправление там, где врач видит лучше программы. Заключение врача о согласии либо несогласии с оценкой фиксируется отдельно, так что спорный случай можно разобрать позднее. Программа выдаёт не диагноз, а оценку степени тяжести и признак направления; диагноз и ответственность за него остаются за врачом.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Считаю необходимым отметить ограничение, существенное именно с клинической точки зрения. Качество распознавания распределено по стадиям крайне неравномерно: при высоком показателе на глазах без признаков ретинопатии начальная непролиферативная стадия распознаётся существенно хуже. Между тем именно она наиболее ценна для скрининга: вмешательство эффективно, а пациент жалоб не предъявляет. Следовательно, система пригодна для выделения случаев, уже требующих направления, но не является инструментом раннего выявления; соискатель этого не скрывает и называет расхождение основным резервом дальнейшей работы. Приложение построено в логике поддержки решения врача, а не его замены. Оцениваю его положительно: заявленные возможности подтверждены в работе, а выбранное направление отвечает практической потребности офтальмологической службы.</w:t>
      </w:r>
    </w:p>
    <w:p>
      <w:pPr>
        <w:spacing w:before="0" w:after="0"/>
        <w:ind w:firstLine="0"/>
      </w:pPr>
    </w:p>
    <w:p>
      <w:pPr>
        <w:spacing w:before="0" w:after="0"/>
        <w:ind w:firstLine="0"/>
      </w:pPr>
    </w:p>
    <w:p>
      <w:pPr>
        <w:spacing w:before="0" w:after="0"/>
        <w:ind w:firstLine="0"/>
      </w:pPr>
    </w:p>
    <w:p>
      <w:pPr>
        <w:spacing w:before="0" w:after="0"/>
        <w:ind w:firstLine="0"/>
      </w:pPr>
    </w:p>
    <w:p>
      <w:pPr>
        <w:spacing w:before="0" w:after="0"/>
        <w:ind w:firstLine="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819"/>
        <w:gridCol w:w="4819"/>
      </w:tblGrid>
      <w:tr>
        <w:tc>
          <w:tcPr>
            <w:tcW w:type="dxa" w:w="4819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Врач-офтальмохирург, высшая квалификационная категория, к.м.н.,</w:t>
            </w:r>
          </w:p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highlight w:val="yellow"/>
                <w:u w:val="none"/>
              </w:rPr>
              <w:t>&lt;полное наименование медицинской организации&gt;</w:t>
            </w:r>
          </w:p>
        </w:tc>
        <w:tc>
          <w:tcPr>
            <w:tcW w:type="dxa" w:w="4819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____________  Аль-Асталь М. С.</w:t>
            </w:r>
          </w:p>
          <w:p>
            <w:pPr>
              <w:spacing w:line="240" w:lineRule="auto"/>
              <w:ind w:firstLine="0"/>
              <w:jc w:val="righ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«___» __________ 2026 г.</w:t>
            </w:r>
          </w:p>
        </w:tc>
      </w:tr>
    </w:tbl>
    <w:p>
      <w:pPr>
        <w:spacing w:before="0" w:after="0" w:line="20" w:lineRule="exact"/>
      </w:pPr>
      <w:r>
        <w:rPr>
          <w:sz w:val="2"/>
        </w:rPr>
      </w:r>
    </w:p>
    <w:sectPr w:rsidR="00FC693F" w:rsidRPr="0006063C" w:rsidSect="00034616">
      <w:pgSz w:w="11906" w:h="16838"/>
      <w:pgMar w:top="1134" w:right="567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0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