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біріктірілген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контексін, көз түбі кескіндерінің сапасындағы вариабельділік көздерін және CNN-ге негізделген скрининг жүйелерінің қазіргі жай-күйін талдау, әрі ғылыми проблеманы тұжырымдау (1-тарау).</w:t>
      </w:r>
    </w:p>
    <w:p>
      <w:pPr>
        <w:ind w:left="709" w:hanging="397"/>
        <w:jc w:val="both"/>
      </w:pPr>
      <w:r>
        <w:rPr>
          <w:rFonts w:ascii="Times New Roman" w:hAnsi="Times New Roman" w:cs="Times New Roman" w:eastAsia="Times New Roman"/>
          <w:b w:val="0"/>
          <w:i w:val="0"/>
          <w:sz w:val="28"/>
          <w:u w:val="none"/>
        </w:rPr>
        <w:t>2.</w:t>
        <w:tab/>
        <w:t>Кескінді жақсарту (гистограмма эквализациясы, қос шектеулі CLAHE, кеңістіктік сүзгілеу), конволюциялық нейрондық желілер (convolution, pooling, теңгерімсіз деректерге арналған loss function, regularization), білімді тасымалдау (transfer learning) және өзін-өзі бақылайтын (self-supervised) репрезентация, сондай-ақ түсіндірілу (Grad-CAM, ALO, IoU) әдістерінің теориялық негіздерін айқындау (2-тарау).</w:t>
      </w:r>
    </w:p>
    <w:p>
      <w:pPr>
        <w:ind w:left="709" w:hanging="397"/>
        <w:jc w:val="both"/>
      </w:pPr>
      <w:r>
        <w:rPr>
          <w:rFonts w:ascii="Times New Roman" w:hAnsi="Times New Roman" w:cs="Times New Roman" w:eastAsia="Times New Roman"/>
          <w:b w:val="0"/>
          <w:i w:val="0"/>
          <w:sz w:val="28"/>
          <w:u w:val="none"/>
        </w:rPr>
        <w:t>3.</w:t>
        <w:tab/>
        <w:t>Біріктірілген «алдын ала өңдеу–CNN» әдіснамасын — 8 кезеңді конвейерін, CNN архитектураларын (ResNet-50, EfficientNet-B3), алдын ала оқыту стратегиясын және көп метрикалы бағалау жүйесін — әзірлеу және формализациялау (3-тарау).</w:t>
      </w:r>
    </w:p>
    <w:p>
      <w:pPr>
        <w:ind w:left="709" w:hanging="397"/>
        <w:jc w:val="both"/>
      </w:pPr>
      <w:r>
        <w:rPr>
          <w:rFonts w:ascii="Times New Roman" w:hAnsi="Times New Roman" w:cs="Times New Roman" w:eastAsia="Times New Roman"/>
          <w:b w:val="0"/>
          <w:i w:val="0"/>
          <w:sz w:val="28"/>
          <w:u w:val="none"/>
        </w:rPr>
        <w:t>4.</w:t>
        <w:tab/>
        <w:t>Біріктірілген конвейерді ортақ негізде орындалған сегіз зерттеу арқылы эксперименттік негіздеу: біріктірілген конвейер басымдығы (1-эксперимент, H-1); компоненттік абляция мен CLAHE және flat-field параметрлерінің свиптері (2-эксперимент, H-2); алты сыртқы корпуста белгілер кеңістігіндегі «көз–нысана» қашықтығын тікелей өлшеу (H-3); деректер жиынтықтары арасындағы тасымалдану (3-эксперимент, H-4); Grad-CAM түсіндірілуі (4-эксперимент, H-5); сыртқы клиникалық сапа (5-эксперимент, H-7); аспаптар бойынша домендік ығысу (6-эксперимент, H-6) және шағын деректерде оқыту (7-эксперимент) (4-тарау).</w:t>
      </w:r>
    </w:p>
    <w:p>
      <w:pPr>
        <w:ind w:left="709" w:hanging="397"/>
        <w:jc w:val="both"/>
      </w:pPr>
      <w:r>
        <w:rPr>
          <w:rFonts w:ascii="Times New Roman" w:hAnsi="Times New Roman" w:cs="Times New Roman" w:eastAsia="Times New Roman"/>
          <w:b w:val="0"/>
          <w:i w:val="0"/>
          <w:sz w:val="28"/>
          <w:u w:val="none"/>
        </w:rPr>
        <w:t>5.</w:t>
        <w:tab/>
        <w:t>Нәтижелердің сенімділігін статистикалық талдау мен салыстырмалы бенчмаркинг арқылы негіздеу, әрі тәсілдің шектеулері мен шекаралық шарттарын тұжырымдау (5-тарау).</w:t>
      </w:r>
    </w:p>
    <w:p>
      <w:pPr>
        <w:ind w:left="709" w:hanging="397"/>
        <w:jc w:val="both"/>
      </w:pPr>
      <w:r>
        <w:rPr>
          <w:rFonts w:ascii="Times New Roman" w:hAnsi="Times New Roman" w:cs="Times New Roman" w:eastAsia="Times New Roman"/>
          <w:b w:val="0"/>
          <w:i w:val="0"/>
          <w:sz w:val="28"/>
          <w:u w:val="none"/>
        </w:rPr>
        <w:t>6.</w:t>
        <w:tab/>
        <w:t>Ресурсы шектеулі орталарға арналған, телемедицина мен электрондық денсаулық сақтаумен интеграцияланатын және Қазақстанның денсаулық сақтау инфрақұрылымына қолданылатын ДР скринингінің автоматтандырылған жүйесінің архитектурасын жобалау (6-тарау).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біріктірілген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біріктірілген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біріктірілген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біріктірілген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Біріктірілген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Біріктірілген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Біріктірілген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тек жобалық үлес: прототип іске асырылмаған, далалық сынақтар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біріктірілген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Біріктірілген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H-1 расталды).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 H-2 расталды).</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гипотезалар тек салдары арқылы жететін себеп тізбегінің орта буынын береді (H-3 тек бағыты бойынша расталды).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 H-4 расталды).</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біріктірілген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H-5 тек өзінің сандық жартысында расталды).</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біріктірілген конфигурация жоғары абсолютті weighted F1 көрсетті, әрі әрбір айырма минималды клиникалық маңызды шамаға жетіп, аралығы нөлді қамтымайды (5-эксперимент, H-7 деградацияға төзімділік емес, абсолютті сыртқы сапа туралы тұжырым ретінде расталды); жіктеу сапасы бес камералық топтаманың барлығында сақталып, олардың арасындағы шашырау азайды (6-эксперимент, H-6 расталды); деректер тапшы режимде біріктірілген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жобаланды; бұл — жобалық спецификация: прототип іске асырылмаған және далалық сынақтар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біріктірілген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Біріктірілген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(H-1).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(H-2).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(H-2).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(H-3).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(H-4).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Біріктірілген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(H-5).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(H-6).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Біріктірілген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(H-7).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біріктірілген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Біріктірілген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 xml:space="preserve">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Бұл — жобалық спецификация: прототип іске асырылмаған,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 </w:t>
      </w:r>
      <w:r>
        <w:rPr>
          <w:rFonts w:ascii="Times New Roman" w:hAnsi="Times New Roman" w:cs="Times New Roman" w:eastAsia="Times New Roman"/>
          <w:b w:val="0"/>
          <w:i/>
          <w:sz w:val="28"/>
          <w:u w:val="none"/>
        </w:rPr>
        <w:t>(Жарияланым және апробация есебі D қосымшасында келтірілген.)</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Құжаттық есеп — жарияланымдар каталогы мен оның индекстелу және жариялану растамалары — D қосымшасында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2024.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val="0"/>
          <w:i w:val="0"/>
          <w:sz w:val="28"/>
          <w:u w:val="none"/>
        </w:rPr>
        <w:t xml:space="preserve"> ДР-нің медициналық және эпидемиологиялық контексі мен оның клиникалық градация жүйелерін, ресурсы шектеулі орталардағы скрининг талаптарын, көз түбі кескіндерінің сапасы деградациясының көздері мен аспаптық вариабельділікті, торқабық кескіндерін жіктеуге арналған терең оқыту тәсілдерін (CNN архитектуралары, білімді тасымалдау мен өзін-өзі бақылайтын алдын ала оқыту, түсіндірілу) қарастырады әрі бар автоматтандырылған ДР скрининг жүйелеріне сыни талдау жасайды,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«Көз түбі кескіндерін талдауға арналған кескінді алдын ала өңдеу мен терең оқытудың теориялық негіздері»</w:t>
      </w:r>
      <w:r>
        <w:rPr>
          <w:rFonts w:ascii="Times New Roman" w:hAnsi="Times New Roman" w:cs="Times New Roman" w:eastAsia="Times New Roman"/>
          <w:b w:val="0"/>
          <w:i w:val="0"/>
          <w:sz w:val="28"/>
          <w:u w:val="none"/>
        </w:rPr>
        <w:t xml:space="preserve"> кескінді жақсартудың математикалық негіздерін (гистограмма эквализациясы, қос шектеулі CLAHE, кеңістіктік сүзгілеу), CNN-нің теориялық аппаратын (convolution, pooling, теңгерімсіз деректерге арналған loss function, regularization), білімді тасымалдау мен домен ішілік өзін-өзі бақылайтын репрезентацияны, торқабық терапиясындағы лазер–тін өзара әрекеттесуін математикалық модельдеуді, түсіндірілуді (CAM, Grad-CAM, ALO, IoU) және алдын ала өңдеуді бағалауға арналған кескін сапасы метрикаларын айқындайды.</w:t>
      </w:r>
    </w:p>
    <w:p>
      <w:pPr>
        <w:ind w:firstLine="709"/>
        <w:jc w:val="both"/>
      </w:pPr>
      <w:r>
        <w:rPr>
          <w:rFonts w:ascii="Times New Roman" w:hAnsi="Times New Roman" w:cs="Times New Roman" w:eastAsia="Times New Roman"/>
          <w:b/>
          <w:i w:val="0"/>
          <w:sz w:val="28"/>
          <w:u w:val="none"/>
        </w:rPr>
        <w:t>3-тарау — «Біріктірілген алдын ала өңдеу–CNN конвейерін жобалау әдіснамасы»</w:t>
      </w:r>
      <w:r>
        <w:rPr>
          <w:rFonts w:ascii="Times New Roman" w:hAnsi="Times New Roman" w:cs="Times New Roman" w:eastAsia="Times New Roman"/>
          <w:b w:val="0"/>
          <w:i w:val="0"/>
          <w:sz w:val="28"/>
          <w:u w:val="none"/>
        </w:rPr>
        <w:t xml:space="preserve"> біріктірілген 8 кезеңді алдын ала өңдеу конвейері мен модификацияланған қос шектеулі CLAHE алгоритмін, аугментация стратегиясын және сыртқы кескіндерді қабылдау хаттамасын формализациялайды; CNN архитектураларын (ResNet-50 және EfficientNet-B3) спецификациялайды; білімді тасымалдау мен офтальмологиялық-арнайы өзін-өзі бақылайтын алдын ала оқыту әдіснамасын, архитектураны бес класты жіктеуге бейімдеуді және салмақталған (Focal) loss функциясының тұжырымдамасын егжей-тегжейлейді; көп метрикалы бағалау мен статистикалық сенімділік жүйесін анықтайды.</w:t>
      </w:r>
    </w:p>
    <w:p>
      <w:pPr>
        <w:ind w:firstLine="709"/>
        <w:jc w:val="both"/>
      </w:pPr>
      <w:r>
        <w:rPr>
          <w:rFonts w:ascii="Times New Roman" w:hAnsi="Times New Roman" w:cs="Times New Roman" w:eastAsia="Times New Roman"/>
          <w:b/>
          <w:i w:val="0"/>
          <w:sz w:val="28"/>
          <w:u w:val="none"/>
        </w:rPr>
        <w:t>4-тарау — «Эксперименттік зерттеу — алдын ала өңдеудің CNN диагностикалық сапасына әсері»</w:t>
      </w:r>
      <w:r>
        <w:rPr>
          <w:rFonts w:ascii="Times New Roman" w:hAnsi="Times New Roman" w:cs="Times New Roman" w:eastAsia="Times New Roman"/>
          <w:b w:val="0"/>
          <w:i w:val="0"/>
          <w:sz w:val="28"/>
          <w:u w:val="none"/>
        </w:rPr>
        <w:t xml:space="preserve"> деңгейлік деректер жиынтығы архитектурасын және сегіз зерттеуді ұсынады: 1-эксперимент (қалпына келтірілген 2×2 факторлық жоспардағы біріктірілген конвейер басымдығы, A–D конфигурациялары), 2-эксперимент (кезеңдердің кумулятивтік абляциясы, CLAHE шегі мен flat-field σ свиптері, кескін сапасы метрикаларымен), алты сыртқы корпуста «көз–нысана» қашықтығын тікелей өлшеу (H-3), 3-эксперимент (APTOS 2019-ға қосымша оқытусыз тасымалдау), 4-эксперимент (IDRiD-те сандық ALO/IoU-мен Grad-CAM түсіндірілуі), 5-эксперимент (IDRiD пен Messidor-2-де сыртқы клиникалық сапа), 6-эксперимент (DDR, ODIR-5K, RFMiD-те аспаптар бойынша домендік ығысу) және 7-эксперимент (IDRiD-те шағын деректерде оқыту, клиникалық жиынтық бөлек қалдырылып).</w:t>
      </w:r>
    </w:p>
    <w:p>
      <w:pPr>
        <w:ind w:firstLine="709"/>
        <w:jc w:val="both"/>
      </w:pPr>
      <w:r>
        <w:rPr>
          <w:rFonts w:ascii="Times New Roman" w:hAnsi="Times New Roman" w:cs="Times New Roman" w:eastAsia="Times New Roman"/>
          <w:b/>
          <w:i w:val="0"/>
          <w:sz w:val="28"/>
          <w:u w:val="none"/>
        </w:rPr>
        <w:t>5-тарау — «Сенімділікті валидациялау және салыстырмалы талдау»</w:t>
      </w:r>
      <w:r>
        <w:rPr>
          <w:rFonts w:ascii="Times New Roman" w:hAnsi="Times New Roman" w:cs="Times New Roman" w:eastAsia="Times New Roman"/>
          <w:b w:val="0"/>
          <w:i w:val="0"/>
          <w:sz w:val="28"/>
          <w:u w:val="none"/>
        </w:rPr>
        <w:t xml:space="preserve"> түсіндірілу нәтижелерін, статистикалық валидацияны (bootstrap сенімділік аралықтары мен аралас әсерлер моделі, тұжырымдар күшінің қорытынды жіктемелері), жұмысты жарияланған жүйелердің контексіне рангілеусіз қоюды және «сапа–күрделілік» арасындағы теңгерімді жинақтайды, әрі ұсынылған тәсілдің шектеулері мен шекаралық шарттарын тұжырымдайды.</w:t>
      </w:r>
    </w:p>
    <w:p>
      <w:pPr>
        <w:ind w:firstLine="709"/>
        <w:jc w:val="both"/>
      </w:pPr>
      <w:r>
        <w:rPr>
          <w:rFonts w:ascii="Times New Roman" w:hAnsi="Times New Roman" w:cs="Times New Roman" w:eastAsia="Times New Roman"/>
          <w:b/>
          <w:i w:val="0"/>
          <w:sz w:val="28"/>
          <w:u w:val="none"/>
        </w:rPr>
        <w:t>6-тарау — «Ресурсы шектеулі орталарға арналған ДР скринингінің автоматтандырылған жүйесінің архитектурасы»</w:t>
      </w:r>
      <w:r>
        <w:rPr>
          <w:rFonts w:ascii="Times New Roman" w:hAnsi="Times New Roman" w:cs="Times New Roman" w:eastAsia="Times New Roman"/>
          <w:b w:val="0"/>
          <w:i w:val="0"/>
          <w:sz w:val="28"/>
          <w:u w:val="none"/>
        </w:rPr>
        <w:t xml:space="preserve"> функционалдық және функционалдық емес талаптарды, PACS пен EHR интеграциясы бар модульдік архитектураны, AI өңдеу модулін (бапталатын алдын ала өңдеу қозғалтқышы мен инференс модулі), клиникалық жұмыс үдерісін интеграциялауды (телемедицина, портативті құрылғыларды және ұлттық электрондық денсаулық сақтау платформасын қолдау, «дәрігер-контурда» шешім қабылдауды қолдау) және деректер қауіпсіздігі мен нормативтік сәйкестік жүйесін (GDPR/HIPAA-мен үйлесімді) спецификациялайды, әрі оның Қазақстанның денсаулық сақтау инфрақұрылымына қолданылуын көрсетеді.</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алты тарау, қорытынды, пайдаланылған дереккөздер тізімі және алты қосымша (А–F) келеді: алдын ала өңдеу конвейерінің бастапқы коды, қосымша эксперименттік нәтижелер мен қателік матрицалары, жүйе архитектурасының диаграммалары, жарияланым және апробация есебі,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265 бетте баяндалған, 42 кесте, 26 сурет және 2 сызбадан тұрады. Пайдаланылған дереккөздер тізімі 107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