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709"/>
        <w:jc w:val="both"/>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представленной на соискание степени доктора философии (PhD) по образовательной программе 8D06102 — Компьютерная и программная инженерия</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Общая характеристика исследования</w:t>
      </w:r>
    </w:p>
    <w:p>
      <w:pPr>
        <w:ind w:firstLine="709"/>
        <w:jc w:val="both"/>
      </w:pPr>
      <w:r>
        <w:rPr>
          <w:rFonts w:ascii="Times New Roman" w:hAnsi="Times New Roman" w:cs="Times New Roman" w:eastAsia="Times New Roman"/>
          <w:b w:val="0"/>
          <w:i w:val="0"/>
          <w:sz w:val="28"/>
          <w:u w:val="none"/>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прямое измерение сокращения доменного сдвига, межнаборный перенос, интерпретируемость, внешнее клиническое качество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u w:val="none"/>
        </w:rPr>
        <w:t>Актуальность темы исследования</w:t>
      </w:r>
    </w:p>
    <w:p>
      <w:pPr>
        <w:ind w:firstLine="709"/>
        <w:jc w:val="both"/>
      </w:pPr>
      <w:r>
        <w:rPr>
          <w:rFonts w:ascii="Times New Roman" w:hAnsi="Times New Roman" w:cs="Times New Roman" w:eastAsia="Times New Roman"/>
          <w:b w:val="0"/>
          <w:i w:val="0"/>
          <w:sz w:val="28"/>
          <w:u w:val="none"/>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u w:val="none"/>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u w:val="none"/>
        </w:rPr>
        <w:t xml:space="preserve">В работе развивается альтернативная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u w:val="none"/>
        </w:rPr>
        <w:t>Цель исследования</w:t>
      </w:r>
    </w:p>
    <w:p>
      <w:pPr>
        <w:ind w:firstLine="709"/>
        <w:jc w:val="both"/>
      </w:pPr>
      <w:r>
        <w:rPr>
          <w:rFonts w:ascii="Times New Roman" w:hAnsi="Times New Roman" w:cs="Times New Roman" w:eastAsia="Times New Roman"/>
          <w:b w:val="0"/>
          <w:i w:val="0"/>
          <w:sz w:val="28"/>
          <w:u w:val="none"/>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специфицирован как неотъемлемый компонент модели, а не как подготовка данных, и установить — в контролируемом сопоставлении с эквивалентной конфигурацией, обученной без данного конвейера, — какую разницу эта спецификация создаёт для качества пятиклассовой диагностики, для переносимости и для интерпретируемости получаемой модели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u w:val="none"/>
        </w:rPr>
        <w:t>Задачи исследования</w:t>
      </w:r>
    </w:p>
    <w:p>
      <w:pPr>
        <w:ind w:left="709" w:hanging="397"/>
        <w:jc w:val="both"/>
      </w:pPr>
      <w:r>
        <w:rPr>
          <w:rFonts w:ascii="Times New Roman" w:hAnsi="Times New Roman" w:cs="Times New Roman" w:eastAsia="Times New Roman"/>
          <w:b w:val="0"/>
          <w:i w:val="0"/>
          <w:sz w:val="28"/>
          <w:u w:val="none"/>
        </w:rPr>
        <w:t>1.</w:t>
        <w:tab/>
        <w:t>Проанализировать медицинский, эпидемиологический и технический контекст автоматизированной диагностики ДР, источники вариабельности качества изображений глазного дна и современное состояние CNN-систем скрининга, а также сформулировать научную проблему (Глава 1).</w:t>
      </w:r>
    </w:p>
    <w:p>
      <w:pPr>
        <w:ind w:left="709" w:hanging="397"/>
        <w:jc w:val="both"/>
      </w:pPr>
      <w:r>
        <w:rPr>
          <w:rFonts w:ascii="Times New Roman" w:hAnsi="Times New Roman" w:cs="Times New Roman" w:eastAsia="Times New Roman"/>
          <w:b w:val="0"/>
          <w:i w:val="0"/>
          <w:sz w:val="28"/>
          <w:u w:val="none"/>
        </w:rPr>
        <w:t>2.</w:t>
        <w:tab/>
        <w:t>Установить теоретические основы улучшения изображений (эквализация гистограммы, CLAHE с двойным ограничением, пространственная фильтрация), свёрточных нейронных сетей (свёртка, пулинг, функции потерь для несбалансированных данных, регуляризация), переноса знаний и самообучаемого (self-supervised) представления, а также методов интерпретируемости (Grad-CAM, ALO, IoU) (Глава 2).</w:t>
      </w:r>
    </w:p>
    <w:p>
      <w:pPr>
        <w:ind w:left="709" w:hanging="397"/>
        <w:jc w:val="both"/>
      </w:pPr>
      <w:r>
        <w:rPr>
          <w:rFonts w:ascii="Times New Roman" w:hAnsi="Times New Roman" w:cs="Times New Roman" w:eastAsia="Times New Roman"/>
          <w:b w:val="0"/>
          <w:i w:val="0"/>
          <w:sz w:val="28"/>
          <w:u w:val="none"/>
        </w:rPr>
        <w:t>3.</w:t>
        <w:tab/>
        <w:t>Разработать и формализовать методологию интегрированной системы «предобработка–CNN»: 8-этапный конвейер, архитектуры CNN (ResNet-50, EfficientNet-B3), стратегию предобучения и многометрическую систему оценивания (Глава 3).</w:t>
      </w:r>
    </w:p>
    <w:p>
      <w:pPr>
        <w:ind w:left="709" w:hanging="397"/>
        <w:jc w:val="both"/>
      </w:pPr>
      <w:r>
        <w:rPr>
          <w:rFonts w:ascii="Times New Roman" w:hAnsi="Times New Roman" w:cs="Times New Roman" w:eastAsia="Times New Roman"/>
          <w:b w:val="0"/>
          <w:i w:val="0"/>
          <w:sz w:val="28"/>
          <w:u w:val="none"/>
        </w:rPr>
        <w:t>4.</w:t>
        <w:tab/>
        <w:t>Экспериментально обосновать интегрированный конвейер посредством восьми исследований, выполненных на общей основе: доминирование интегрированного конвейера (Эксперимент 1, H-1); компонентная абляция со свипами параметров CLAHE и flat-field-коррекции (Эксперимент 2, H-2); прямое измерение расстояния «источник—цель» в пространстве признаков на шести внешних корпусах (H-3); межнаборная переносимость (Эксперимент 3, H-4); интерпретируемость Grad-CAM (Эксперимент 4, H-5); внешнее клиническое качество (Эксперимент 5, H-7); доменный сдвиг по устройствам (Эксперимент 6, H-6) и обучение на малых данных (Эксперимент 7) (Глава 4).</w:t>
      </w:r>
    </w:p>
    <w:p>
      <w:pPr>
        <w:ind w:left="709" w:hanging="397"/>
        <w:jc w:val="both"/>
      </w:pPr>
      <w:r>
        <w:rPr>
          <w:rFonts w:ascii="Times New Roman" w:hAnsi="Times New Roman" w:cs="Times New Roman" w:eastAsia="Times New Roman"/>
          <w:b w:val="0"/>
          <w:i w:val="0"/>
          <w:sz w:val="28"/>
          <w:u w:val="none"/>
        </w:rPr>
        <w:t>5.</w:t>
        <w:tab/>
        <w:t>Обосновать достоверность результатов посредством статистического анализа и сравнительного бенчмаркинга и сформулировать ограничения и граничные условия подхода (Глава 5).</w:t>
      </w:r>
    </w:p>
    <w:p>
      <w:pPr>
        <w:ind w:left="709" w:hanging="397"/>
        <w:jc w:val="both"/>
      </w:pPr>
      <w:r>
        <w:rPr>
          <w:rFonts w:ascii="Times New Roman" w:hAnsi="Times New Roman" w:cs="Times New Roman" w:eastAsia="Times New Roman"/>
          <w:b w:val="0"/>
          <w:i w:val="0"/>
          <w:sz w:val="28"/>
          <w:u w:val="none"/>
        </w:rPr>
        <w:t>6.</w:t>
        <w:tab/>
        <w:t>Спроектировать архитектуру автоматизированной системы скрининга ДР для сред с ограниченными ресурсами, с интеграцией телемедицины и электронного здравоохранения, применимую к инфраструктуре здравоохранения Казахстана (Глава 6).</w:t>
      </w:r>
    </w:p>
    <w:p>
      <w:pPr>
        <w:keepNext/>
        <w:spacing w:before="240" w:after="120"/>
        <w:jc w:val="left"/>
      </w:pPr>
      <w:r>
        <w:rPr>
          <w:rFonts w:ascii="Times New Roman" w:hAnsi="Times New Roman" w:cs="Times New Roman" w:eastAsia="Times New Roman"/>
          <w:b/>
          <w:i w:val="0"/>
          <w:sz w:val="28"/>
          <w:u w:val="none"/>
        </w:rPr>
        <w:t>Объект исследования</w:t>
      </w:r>
    </w:p>
    <w:p>
      <w:pPr>
        <w:ind w:firstLine="709"/>
        <w:jc w:val="both"/>
      </w:pPr>
      <w:r>
        <w:rPr>
          <w:rFonts w:ascii="Times New Roman" w:hAnsi="Times New Roman" w:cs="Times New Roman" w:eastAsia="Times New Roman"/>
          <w:b w:val="0"/>
          <w:i w:val="0"/>
          <w:sz w:val="28"/>
          <w:u w:val="none"/>
        </w:rPr>
        <w:t>Процесс автоматизированной многостадийной диагностики диабетической ретинопатии по цветным изображениям глазного дна с использованием свёрточных нейронных сетей. Процесс изучается целиком — от изображения в том виде, в каком оно выходит из камеры, до пятиклассовой степени тяжести, присваиваемой моделью, — а не в одном лишь шаге классификации.</w:t>
      </w:r>
    </w:p>
    <w:p>
      <w:pPr>
        <w:keepNext/>
        <w:spacing w:before="240" w:after="120"/>
        <w:jc w:val="left"/>
      </w:pPr>
      <w:r>
        <w:rPr>
          <w:rFonts w:ascii="Times New Roman" w:hAnsi="Times New Roman" w:cs="Times New Roman" w:eastAsia="Times New Roman"/>
          <w:b/>
          <w:i w:val="0"/>
          <w:sz w:val="28"/>
          <w:u w:val="none"/>
        </w:rPr>
        <w:t>Предмет исследования</w:t>
      </w:r>
    </w:p>
    <w:p>
      <w:pPr>
        <w:ind w:firstLine="709"/>
        <w:jc w:val="both"/>
      </w:pPr>
      <w:r>
        <w:rPr>
          <w:rFonts w:ascii="Times New Roman" w:hAnsi="Times New Roman" w:cs="Times New Roman" w:eastAsia="Times New Roman"/>
          <w:b w:val="0"/>
          <w:i w:val="0"/>
          <w:sz w:val="28"/>
          <w:u w:val="none"/>
        </w:rPr>
        <w:t>Методы и модели интеграции предварительной обработки (улучшения) изображений глазного дна с классификацией на основе CNN, а также свойства, которые обнаруживает получаемая интегрированная конфигурация: качество диагностики при пятиклассовой градации, переносимость на корпуса, не виденные при обучении, согласованность внимания модели с экспертной разметкой патологии и поведение при смене доменов камер. Манипулируемым является именно интеграция, а не предобработка, взятая отдельно от сети, которую она питает.</w:t>
      </w:r>
    </w:p>
    <w:p>
      <w:pPr>
        <w:keepNext/>
        <w:spacing w:before="240" w:after="120"/>
        <w:jc w:val="left"/>
      </w:pPr>
      <w:r>
        <w:rPr>
          <w:rFonts w:ascii="Times New Roman" w:hAnsi="Times New Roman" w:cs="Times New Roman" w:eastAsia="Times New Roman"/>
          <w:b/>
          <w:i w:val="0"/>
          <w:sz w:val="28"/>
          <w:u w:val="none"/>
        </w:rPr>
        <w:t>Методология и методы исследования</w:t>
      </w:r>
    </w:p>
    <w:p>
      <w:pPr>
        <w:ind w:firstLine="709"/>
        <w:jc w:val="both"/>
      </w:pPr>
      <w:r>
        <w:rPr>
          <w:rFonts w:ascii="Times New Roman" w:hAnsi="Times New Roman" w:cs="Times New Roman" w:eastAsia="Times New Roman"/>
          <w:b w:val="0"/>
          <w:i w:val="0"/>
          <w:sz w:val="28"/>
          <w:u w:val="none"/>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локализацию диска зрительного нерва и фовеа для нормализации поворота предобученным замороженным детектором на основе регрессии тепловых карт, который не обучается совместно с классификатором, так что предобработка остаётся фиксированным преобразованием; изотропное масштабирование с центрированным дополнением нулями, сохраняющее геометрию круга глазного дна вместо её искажения до фиксированных пропорций; адаптивную коррекцию неравномерности освещения (flat-field correction), применяемую только внутри маски FOV, CLAHE с двойным ограничением порога в цветовом пространстве LAB, классификацию на основе CNN с backbone-архитектурами ResNet-50 и EfficientNet-B3, перенос знаний с ImageNet для базовой ветви и внутридоменное предобучение для интегрированной ветви — при этом выбор между конкурирующими инициализациями решается приёмочным шлюзом линейного зонда с замороженным backbone, а не постулируется, — Focal Loss для компенсации дисбаланса классов, анализ интерпретируемости Grad-CAM с метриками перекрытия «внимание—очаг» (первичная) и IoU (вторичная), максимальное среднее расхождение (MMD) по признакам предпоследнего слоя для прямого измерения доменного сдвига (с дивергенцией поканальных гистограмм в качестве информационного контекста),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u w:val="none"/>
        </w:rPr>
        <w:t>Эмпирическая (экспериментальная) база</w:t>
      </w:r>
    </w:p>
    <w:p>
      <w:pPr>
        <w:ind w:firstLine="709"/>
        <w:jc w:val="both"/>
      </w:pPr>
      <w:r>
        <w:rPr>
          <w:rFonts w:ascii="Times New Roman" w:hAnsi="Times New Roman" w:cs="Times New Roman" w:eastAsia="Times New Roman"/>
          <w:b w:val="0"/>
          <w:i w:val="0"/>
          <w:sz w:val="28"/>
          <w:u w:val="none"/>
        </w:rPr>
        <w:t>Восемь наборов данных, организованных в функциональные уровни: EyePACS (~35 126 размеченных изображений, основное обучение и абляция, Canon CR-1), второй, неразмеченный срез которого (~53 576 изображений) служит внутридоменным корпусом предобучения интегрированной ветви и не пересекается с оценочным ни по изображениям, ни по пациентам; APTOS 2019 (~3 662, межнаборный перенос); IDRiD (516 изображений, 81 с пиксельными масками очагов, клиническая валидация и интерпретируемость, Kowa); Messidor-2 (~1 748, внешняя клиническая оценка,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по степеням тяжести, обучение в режиме дефицита данных), который происходит из частных медицинских центров и не подлежит перераспространению, вследствие чего зависящие от него результаты не воспроизводимы внешними исследователями. Наборы для оценки доменного сдвига, размеченные в многозаболеваемых таксономиях, используются только как источники меток ДР. Качество изображений оценивается метриками отношения контраст/шум (CNR), энтропии изображения и SSIM; результаты по разным корпусам приводятся раздельно и никогда не агрегируются в единый показатель.</w:t>
      </w:r>
    </w:p>
    <w:p>
      <w:pPr>
        <w:keepNext/>
        <w:spacing w:before="240" w:after="120"/>
        <w:jc w:val="left"/>
      </w:pPr>
      <w:r>
        <w:rPr>
          <w:rFonts w:ascii="Times New Roman" w:hAnsi="Times New Roman" w:cs="Times New Roman" w:eastAsia="Times New Roman"/>
          <w:b/>
          <w:i w:val="0"/>
          <w:sz w:val="28"/>
          <w:u w:val="none"/>
        </w:rPr>
        <w:t>Научная новизна</w:t>
      </w:r>
    </w:p>
    <w:p>
      <w:pPr>
        <w:ind w:left="709" w:hanging="397"/>
        <w:jc w:val="both"/>
      </w:pPr>
      <w:r>
        <w:rPr>
          <w:rFonts w:ascii="Times New Roman" w:hAnsi="Times New Roman" w:cs="Times New Roman" w:eastAsia="Times New Roman"/>
          <w:b w:val="0"/>
          <w:i w:val="0"/>
          <w:sz w:val="28"/>
          <w:u w:val="none"/>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u w:val="none"/>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u w:val="none"/>
        </w:rPr>
        <w:t>3.</w:t>
        <w:tab/>
        <w:t>Кумулятивная абляция при единой инициализации отделяет вклад предобработки от инициализации, с которой факторный план его неизбежно смешивает; это разложение не превращает факторный план в однофакторную манипуляцию, и никакое утверждение об изолированном эффекте предобработки на нём не основывается.</w:t>
      </w:r>
    </w:p>
    <w:p>
      <w:pPr>
        <w:ind w:left="709" w:hanging="397"/>
        <w:jc w:val="both"/>
      </w:pPr>
      <w:r>
        <w:rPr>
          <w:rFonts w:ascii="Times New Roman" w:hAnsi="Times New Roman" w:cs="Times New Roman" w:eastAsia="Times New Roman"/>
          <w:b w:val="0"/>
          <w:i w:val="0"/>
          <w:sz w:val="28"/>
          <w:u w:val="none"/>
        </w:rPr>
        <w:t>4.</w:t>
        <w:tab/>
        <w:t>Формализован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 благодаря чему этап служит одновременно оператором улучшения и источником регуляризации. Формулировка развивает ранее опубликованные работы соискателя по улучшению изображений глазного дна, а не возникает здесь впервые; новыми являются её формализация, встраивание в специфицированный конвейер и валидация в задаче пятиклассовой градации.</w:t>
      </w:r>
    </w:p>
    <w:p>
      <w:pPr>
        <w:ind w:left="709" w:hanging="397"/>
        <w:jc w:val="both"/>
      </w:pPr>
      <w:r>
        <w:rPr>
          <w:rFonts w:ascii="Times New Roman" w:hAnsi="Times New Roman" w:cs="Times New Roman" w:eastAsia="Times New Roman"/>
          <w:b w:val="0"/>
          <w:i w:val="0"/>
          <w:sz w:val="28"/>
          <w:u w:val="none"/>
        </w:rPr>
        <w:t>5.</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 так что дополнение нулями не искажается.</w:t>
      </w:r>
    </w:p>
    <w:p>
      <w:pPr>
        <w:ind w:left="709" w:hanging="397"/>
        <w:jc w:val="both"/>
      </w:pPr>
      <w:r>
        <w:rPr>
          <w:rFonts w:ascii="Times New Roman" w:hAnsi="Times New Roman" w:cs="Times New Roman" w:eastAsia="Times New Roman"/>
          <w:b w:val="0"/>
          <w:i w:val="0"/>
          <w:sz w:val="28"/>
          <w:u w:val="none"/>
        </w:rPr>
        <w:t>6.</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u w:val="none"/>
        </w:rPr>
        <w:t>7.</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 Она устанавливает согласованность свидетельств модели с экспертной разметкой, а не клиническую локализацию патологии.</w:t>
      </w:r>
    </w:p>
    <w:p>
      <w:pPr>
        <w:ind w:left="709" w:hanging="397"/>
        <w:jc w:val="both"/>
      </w:pPr>
      <w:r>
        <w:rPr>
          <w:rFonts w:ascii="Times New Roman" w:hAnsi="Times New Roman" w:cs="Times New Roman" w:eastAsia="Times New Roman"/>
          <w:b w:val="0"/>
          <w:i w:val="0"/>
          <w:sz w:val="28"/>
          <w:u w:val="none"/>
        </w:rPr>
        <w:t>8.</w:t>
        <w:tab/>
        <w:t>Механизм, постулируемый центральной гипотезой, измерен напрямую, а не выведен из своего следствия: расстояние «источник—цель» вычисляется на предпоследнем слое для обеих конфигураций на шести внешних корпусах ценой одних лишь прямых проходов. Вклад несут две особенности плана — нормализация использует статистики домена-источника и никогда не пересчитывается на цели, поэтому измерение является свойством предобработки, а не подогнанной к цели процедуры; и его фальсифицируемость зафиксирована до самого измерения, поскольку два этапа конвейера по построению привязаны к домену-источнику и обращение результата было реальной возможностью.</w:t>
      </w:r>
    </w:p>
    <w:p>
      <w:pPr>
        <w:ind w:left="709" w:hanging="397"/>
        <w:jc w:val="both"/>
      </w:pPr>
      <w:r>
        <w:rPr>
          <w:rFonts w:ascii="Times New Roman" w:hAnsi="Times New Roman" w:cs="Times New Roman" w:eastAsia="Times New Roman"/>
          <w:b w:val="0"/>
          <w:i w:val="0"/>
          <w:sz w:val="28"/>
          <w:u w:val="none"/>
        </w:rPr>
        <w:t>9.</w:t>
        <w:tab/>
        <w:t>Интегрированная ветвь инициализируется внутридоменным, а не натурально-изобразительным предобучением, причём выбор между конкурирующими инициализациями решается приёмочным шлюзом линейного зонда с замороженным backbone, а не постулируется. Отрицательный исход приводится как свидетельство: самообучение без меток, обученное с нуля на внутридоменном корпусе, шлюз не прошло — по нескольким протоколам одного семейства и без улучшения от более длительного обучения — и допущено не было.</w:t>
      </w:r>
    </w:p>
    <w:p>
      <w:pPr>
        <w:ind w:left="709" w:hanging="397"/>
        <w:jc w:val="both"/>
      </w:pPr>
      <w:r>
        <w:rPr>
          <w:rFonts w:ascii="Times New Roman" w:hAnsi="Times New Roman" w:cs="Times New Roman" w:eastAsia="Times New Roman"/>
          <w:b w:val="0"/>
          <w:i w:val="0"/>
          <w:sz w:val="28"/>
          <w:u w:val="none"/>
        </w:rPr>
        <w:t>10.</w:t>
        <w:tab/>
        <w:t>Интегрированный конвейер валидирован на многоуровневой многонаборной и многоприборной архитектуре (EyePACS, APTOS 2019, IDRiD, Messidor-2, DDR, ODIR-5K, RFMiD и казахстанский клинический набор), организованной по функциям и охватывающей камеры четырёх производителей (Canon, Topcon, Kowa, Zeiss), включая межнаборный перенос, внешнее клиническое качество и доменный сдвиг по устройствам.</w:t>
      </w:r>
    </w:p>
    <w:p>
      <w:pPr>
        <w:ind w:left="709" w:hanging="397"/>
        <w:jc w:val="both"/>
      </w:pPr>
      <w:r>
        <w:rPr>
          <w:rFonts w:ascii="Times New Roman" w:hAnsi="Times New Roman" w:cs="Times New Roman" w:eastAsia="Times New Roman"/>
          <w:b w:val="0"/>
          <w:i w:val="0"/>
          <w:sz w:val="28"/>
          <w:u w:val="none"/>
        </w:rPr>
        <w:t>11.</w:t>
        <w:tab/>
        <w:t>Аналитически выявлен дефект, общий для трёх широко используемых мер внешней устойчивости: величина деградации, коэффициент обобщения и коэффициент удержания — каждая нормирует или вычитает внешнее качество ветви относительно её же внутридоменного качества и потому штрафует конфигурацию за её внутридоменную силу. Анализ строго описателен и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12.</w:t>
        <w:tab/>
        <w:t>Два вклада неэмпиричны по замыслу: связанная термооптическая модель отклика тканей глазного дна при лазерном воздействии — только теоретический и вычислительный вклад; и модульная архитектура системы скрининга — только проектный вклад: прототип не реализован, полевые испытания не проводились.</w:t>
      </w:r>
    </w:p>
    <w:p>
      <w:pPr>
        <w:keepNext/>
        <w:spacing w:before="240" w:after="120"/>
        <w:jc w:val="left"/>
      </w:pPr>
      <w:r>
        <w:rPr>
          <w:rFonts w:ascii="Times New Roman" w:hAnsi="Times New Roman" w:cs="Times New Roman" w:eastAsia="Times New Roman"/>
          <w:b/>
          <w:i w:val="0"/>
          <w:sz w:val="28"/>
          <w:u w:val="none"/>
        </w:rPr>
        <w:t>Основные результаты исследования</w:t>
      </w:r>
    </w:p>
    <w:p>
      <w:pPr>
        <w:ind w:left="709" w:hanging="397"/>
        <w:jc w:val="both"/>
      </w:pPr>
      <w:r>
        <w:rPr>
          <w:rFonts w:ascii="Times New Roman" w:hAnsi="Times New Roman" w:cs="Times New Roman" w:eastAsia="Times New Roman"/>
          <w:b w:val="0"/>
          <w:i w:val="0"/>
          <w:sz w:val="28"/>
          <w:u w:val="none"/>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u w:val="none"/>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u w:val="none"/>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критерий удовлетворён по всем трём его компонентам, эффект выдержал поправку на множественные сравнения и не обнаружил взаимодействия с выбором архитектуры (Эксперимент 1, H-1 подтверждена). Это свойство конфигурации, которая отличается от базовой не только предобработкой, но и инициализацией.</w:t>
      </w:r>
    </w:p>
    <w:p>
      <w:pPr>
        <w:ind w:left="709" w:hanging="397"/>
        <w:jc w:val="both"/>
      </w:pPr>
      <w:r>
        <w:rPr>
          <w:rFonts w:ascii="Times New Roman" w:hAnsi="Times New Roman" w:cs="Times New Roman" w:eastAsia="Times New Roman"/>
          <w:b w:val="0"/>
          <w:i w:val="0"/>
          <w:sz w:val="28"/>
          <w:u w:val="none"/>
        </w:rPr>
        <w:t>4.</w:t>
        <w:tab/>
        <w:t>Вклад отдельных этапов конвейера количественно оценён посредством кумулятивной компонентной абляции при единой инициализации: каждый переход между этапами дал вклад, превышающий межфолдовый разброс своего уровня, вклады разделяются на группы с лидирующими двумя фотометрическими этапами, а сама абляция воспроизвела весь внутридоменный прирост. Порог CLAHE и параметр σ flat-field-коррекции обнаружили внутренний оптимум в пределах просмотренных диапазонов, подтверждённый на отложенных данных и подкреплённый метриками качества изображений (CNR, энтропия, SSIM) (Эксперимент 2, H-2 подтверждена).</w:t>
      </w:r>
    </w:p>
    <w:p>
      <w:pPr>
        <w:ind w:left="709" w:hanging="397"/>
        <w:jc w:val="both"/>
      </w:pPr>
      <w:r>
        <w:rPr>
          <w:rFonts w:ascii="Times New Roman" w:hAnsi="Times New Roman" w:cs="Times New Roman" w:eastAsia="Times New Roman"/>
          <w:b w:val="0"/>
          <w:i w:val="0"/>
          <w:sz w:val="28"/>
          <w:u w:val="none"/>
        </w:rPr>
        <w:t>5.</w:t>
        <w:tab/>
        <w:t>Сокращение расстояния «источник—цель» в пространстве признаков измерено напрямую на шести внешних корпусах при обязательном условии использования статистик домена-источника: расстояние сократилось на каждом рассмотренном корпусе, что даёт средний член причинной цепи, к которому остальные гипотезы подступают лишь через его следствие (H-3 подтверждена, только по направлению).</w:t>
      </w:r>
    </w:p>
    <w:p>
      <w:pPr>
        <w:ind w:left="709" w:hanging="397"/>
        <w:jc w:val="both"/>
      </w:pPr>
      <w:r>
        <w:rPr>
          <w:rFonts w:ascii="Times New Roman" w:hAnsi="Times New Roman" w:cs="Times New Roman" w:eastAsia="Times New Roman"/>
          <w:b w:val="0"/>
          <w:i w:val="0"/>
          <w:sz w:val="28"/>
          <w:u w:val="none"/>
        </w:rPr>
        <w:t>6.</w:t>
        <w:tab/>
        <w:t>Модель, обученная на EyePACS с конвейером, перенеслась на APTOS 2019 без дообучения, преодолев предварительно зарегистрированный коэффициент обобщения G ≥ 0,85 и превзойдя базовую конфигурацию на каждой степени тяжести; базовая конфигурация также преодолевает порог, поэтому свидетельство заключено в сравнении, а не в критерии (Эксперимент 3, H-4 подтверждена).</w:t>
      </w:r>
    </w:p>
    <w:p>
      <w:pPr>
        <w:ind w:left="709" w:hanging="397"/>
        <w:jc w:val="both"/>
      </w:pPr>
      <w:r>
        <w:rPr>
          <w:rFonts w:ascii="Times New Roman" w:hAnsi="Times New Roman" w:cs="Times New Roman" w:eastAsia="Times New Roman"/>
          <w:b w:val="0"/>
          <w:i w:val="0"/>
          <w:sz w:val="28"/>
          <w:u w:val="none"/>
        </w:rPr>
        <w:t>7.</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показал более тесную согласованность внимания модели с экспертной разметкой при интегрированной конфигурации — по всем четырём аннотированным типам очагов и по обеим метрикам (Эксперимент 4, H-5 подтверждена только в своей количественной половине).</w:t>
      </w:r>
    </w:p>
    <w:p>
      <w:pPr>
        <w:ind w:left="709" w:hanging="397"/>
        <w:jc w:val="both"/>
      </w:pPr>
      <w:r>
        <w:rPr>
          <w:rFonts w:ascii="Times New Roman" w:hAnsi="Times New Roman" w:cs="Times New Roman" w:eastAsia="Times New Roman"/>
          <w:b w:val="0"/>
          <w:i w:val="0"/>
          <w:sz w:val="28"/>
          <w:u w:val="none"/>
        </w:rPr>
        <w:t>8.</w:t>
        <w:tab/>
        <w:t>На обоих внешних клинических корпусах интегрированная конфигурация достигла более высокого абсолютного weighted F1, причём каждая разница достигает минимально клинически значимой величины при интервале, исключающем ноль (Эксперимент 5, H-7 подтверждена как утверждение об абсолютном внешнем качестве, а не об устойчивости к деградации); качество сохранено на всех пяти группировках камер при сокращении разброса между ними (Эксперимент 6, H-6 подтверждена); в режиме дефицита данных интегрированная конфигурация вновь оказалась сильнее — с преимуществом, сопоставимым с измеренным при обилии данных и не превышающим его (Эксперимент 7).</w:t>
      </w:r>
    </w:p>
    <w:p>
      <w:pPr>
        <w:ind w:left="709" w:hanging="397"/>
        <w:jc w:val="both"/>
      </w:pPr>
      <w:r>
        <w:rPr>
          <w:rFonts w:ascii="Times New Roman" w:hAnsi="Times New Roman" w:cs="Times New Roman" w:eastAsia="Times New Roman"/>
          <w:b w:val="0"/>
          <w:i w:val="0"/>
          <w:sz w:val="28"/>
          <w:u w:val="none"/>
        </w:rPr>
        <w:t>9.</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 это проектная спецификация — прототип не реализован и полевые испытания не проводились.</w:t>
      </w:r>
    </w:p>
    <w:p>
      <w:pPr>
        <w:keepNext/>
        <w:spacing w:before="240" w:after="120"/>
        <w:jc w:val="left"/>
      </w:pPr>
      <w:r>
        <w:rPr>
          <w:rFonts w:ascii="Times New Roman" w:hAnsi="Times New Roman" w:cs="Times New Roman" w:eastAsia="Times New Roman"/>
          <w:b/>
          <w:i w:val="0"/>
          <w:sz w:val="28"/>
          <w:u w:val="none"/>
        </w:rPr>
        <w:t>Положения, выносимые на защиту</w:t>
      </w:r>
    </w:p>
    <w:p>
      <w:pPr>
        <w:ind w:firstLine="709"/>
        <w:jc w:val="both"/>
      </w:pPr>
      <w:r>
        <w:rPr>
          <w:rFonts w:ascii="Times New Roman" w:hAnsi="Times New Roman" w:cs="Times New Roman" w:eastAsia="Times New Roman"/>
          <w:b w:val="0"/>
          <w:i w:val="0"/>
          <w:sz w:val="28"/>
          <w:u w:val="none"/>
        </w:rPr>
        <w:t>Каждое положение выносится на защиту в той силе, которую поддерживает его заранее заданный критерий, и каждое несёт оговорку, неотделимую от него: положение, приведённое без своей оговорки, есть иное и более сильное утверждение, чем то, которое поддержано данными.</w:t>
      </w:r>
    </w:p>
    <w:p>
      <w:pPr>
        <w:ind w:left="709" w:hanging="397"/>
        <w:jc w:val="both"/>
      </w:pPr>
      <w:r>
        <w:rPr>
          <w:rFonts w:ascii="Times New Roman" w:hAnsi="Times New Roman" w:cs="Times New Roman" w:eastAsia="Times New Roman"/>
          <w:b w:val="0"/>
          <w:i w:val="0"/>
          <w:sz w:val="28"/>
          <w:u w:val="none"/>
        </w:rPr>
        <w:t>1.</w:t>
        <w:tab/>
        <w:t xml:space="preserve">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 переосмысление от сквозной парадигмы (P1) к интегрированной (P2). </w:t>
      </w:r>
      <w:r>
        <w:rPr>
          <w:rFonts w:ascii="Times New Roman" w:hAnsi="Times New Roman" w:cs="Times New Roman" w:eastAsia="Times New Roman"/>
          <w:b w:val="0"/>
          <w:i/>
          <w:sz w:val="28"/>
          <w:u w:val="none"/>
        </w:rPr>
        <w:t>Это положение методологическое и неэмпирическое: экспериментальные результаты согласуются с ним в исследованных условиях и не устанавливают его универсально.</w:t>
      </w:r>
    </w:p>
    <w:p>
      <w:pPr>
        <w:ind w:left="709" w:hanging="397"/>
        <w:jc w:val="both"/>
      </w:pPr>
      <w:r>
        <w:rPr>
          <w:rFonts w:ascii="Times New Roman" w:hAnsi="Times New Roman" w:cs="Times New Roman" w:eastAsia="Times New Roman"/>
          <w:b w:val="0"/>
          <w:i w:val="0"/>
          <w:sz w:val="28"/>
          <w:u w:val="none"/>
        </w:rPr>
        <w:t>2.</w:t>
        <w:tab/>
        <w:t xml:space="preserve">Интегрированная конфигурация доминирует над базовой в пятиклассовой классификации ДР на EyePACS для обеих архитектур ResNet-50 и EfficientNet-B3 по конъюнктивному предварительно зарегистрированному критерию во всех трёх его компонентах, причём эффект выдерживает поправку на множественные сравнения и не обнаруживает взаимодействия с выбором архитектуры (H-1). </w:t>
      </w:r>
      <w:r>
        <w:rPr>
          <w:rFonts w:ascii="Times New Roman" w:hAnsi="Times New Roman" w:cs="Times New Roman" w:eastAsia="Times New Roman"/>
          <w:b w:val="0"/>
          <w:i/>
          <w:sz w:val="28"/>
          <w:u w:val="none"/>
        </w:rPr>
        <w:t>Две ветви различаются не только предобработкой, но и инициализацией, поэтому положение касается конфигурации как целого; кумулятивная абляция разлагает этот композит, но не растворяет его, и никакая часть эффекта не приписывается предобработке в отдельности.</w:t>
      </w:r>
    </w:p>
    <w:p>
      <w:pPr>
        <w:ind w:left="709" w:hanging="397"/>
        <w:jc w:val="both"/>
      </w:pPr>
      <w:r>
        <w:rPr>
          <w:rFonts w:ascii="Times New Roman" w:hAnsi="Times New Roman" w:cs="Times New Roman" w:eastAsia="Times New Roman"/>
          <w:b w:val="0"/>
          <w:i w:val="0"/>
          <w:sz w:val="28"/>
          <w:u w:val="none"/>
        </w:rPr>
        <w:t>3.</w:t>
        <w:tab/>
        <w:t xml:space="preserve">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 (H-2). </w:t>
      </w:r>
      <w:r>
        <w:rPr>
          <w:rFonts w:ascii="Times New Roman" w:hAnsi="Times New Roman" w:cs="Times New Roman" w:eastAsia="Times New Roman"/>
          <w:b w:val="0"/>
          <w:i/>
          <w:sz w:val="28"/>
          <w:u w:val="none"/>
        </w:rPr>
        <w:t>Ограничено проверенными диапазонами; оптимальные значения суть свойства данного корпуса и конвейера, а не переносимые константы.</w:t>
      </w:r>
    </w:p>
    <w:p>
      <w:pPr>
        <w:ind w:left="709" w:hanging="397"/>
        <w:jc w:val="both"/>
      </w:pPr>
      <w:r>
        <w:rPr>
          <w:rFonts w:ascii="Times New Roman" w:hAnsi="Times New Roman" w:cs="Times New Roman" w:eastAsia="Times New Roman"/>
          <w:b w:val="0"/>
          <w:i w:val="0"/>
          <w:sz w:val="28"/>
          <w:u w:val="none"/>
        </w:rPr>
        <w:t>4.</w:t>
        <w:tab/>
        <w:t xml:space="preserve">Вклады отдельных этапов конвейера разделимы, монотонны по фолдам и упорядочиваемы, причём два фотометрических этапа лидируют (H-2). </w:t>
      </w:r>
      <w:r>
        <w:rPr>
          <w:rFonts w:ascii="Times New Roman" w:hAnsi="Times New Roman" w:cs="Times New Roman" w:eastAsia="Times New Roman"/>
          <w:b w:val="0"/>
          <w:i/>
          <w:sz w:val="28"/>
          <w:u w:val="none"/>
        </w:rPr>
        <w:t>Только на уровне разрешения групп: соседние ранги лежат в пределах шума, строгий порядок этапов на защиту не выносится, а канал маски FOV не был выделен изолированно.</w:t>
      </w:r>
    </w:p>
    <w:p>
      <w:pPr>
        <w:ind w:left="709" w:hanging="397"/>
        <w:jc w:val="both"/>
      </w:pPr>
      <w:r>
        <w:rPr>
          <w:rFonts w:ascii="Times New Roman" w:hAnsi="Times New Roman" w:cs="Times New Roman" w:eastAsia="Times New Roman"/>
          <w:b w:val="0"/>
          <w:i w:val="0"/>
          <w:sz w:val="28"/>
          <w:u w:val="none"/>
        </w:rPr>
        <w:t>5.</w:t>
        <w:tab/>
        <w:t xml:space="preserve">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 причём ни одна статистика целевого корпуса не входит в преобразование (H-3). </w:t>
      </w:r>
      <w:r>
        <w:rPr>
          <w:rFonts w:ascii="Times New Roman" w:hAnsi="Times New Roman" w:cs="Times New Roman" w:eastAsia="Times New Roman"/>
          <w:b w:val="0"/>
          <w:i/>
          <w:sz w:val="28"/>
          <w:u w:val="none"/>
        </w:rPr>
        <w:t>Только по направлению — величина сокращения расстояния не отслеживает величину прироста качества; утверждение механистическое и не несёт заявлений о диагностическом качестве или совместимости с устройствами.</w:t>
      </w:r>
    </w:p>
    <w:p>
      <w:pPr>
        <w:ind w:left="709" w:hanging="397"/>
        <w:jc w:val="both"/>
      </w:pPr>
      <w:r>
        <w:rPr>
          <w:rFonts w:ascii="Times New Roman" w:hAnsi="Times New Roman" w:cs="Times New Roman" w:eastAsia="Times New Roman"/>
          <w:b w:val="0"/>
          <w:i w:val="0"/>
          <w:sz w:val="28"/>
          <w:u w:val="none"/>
        </w:rPr>
        <w:t>6.</w:t>
        <w:tab/>
        <w:t xml:space="preserve">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 (H-4). </w:t>
      </w:r>
      <w:r>
        <w:rPr>
          <w:rFonts w:ascii="Times New Roman" w:hAnsi="Times New Roman" w:cs="Times New Roman" w:eastAsia="Times New Roman"/>
          <w:b w:val="0"/>
          <w:i/>
          <w:sz w:val="28"/>
          <w:u w:val="none"/>
        </w:rPr>
        <w:t>Базовая конфигурация также преодолевает порог, поэтому критерий не различает ветви; доказательство лежит в сравнении.</w:t>
      </w:r>
    </w:p>
    <w:p>
      <w:pPr>
        <w:ind w:left="709" w:hanging="397"/>
        <w:jc w:val="both"/>
      </w:pPr>
      <w:r>
        <w:rPr>
          <w:rFonts w:ascii="Times New Roman" w:hAnsi="Times New Roman" w:cs="Times New Roman" w:eastAsia="Times New Roman"/>
          <w:b w:val="0"/>
          <w:i w:val="0"/>
          <w:sz w:val="28"/>
          <w:u w:val="none"/>
        </w:rPr>
        <w:t>7.</w:t>
        <w:tab/>
        <w:t xml:space="preserve">Внимание модели теснее согласуется с экспертной пиксельной разметкой очагов в интегрированной конфигурации — на всех четырёх аннотированных типах очагов, по первичной и по вторичной мере и устойчиво по порогу внимания (H-5). </w:t>
      </w:r>
      <w:r>
        <w:rPr>
          <w:rFonts w:ascii="Times New Roman" w:hAnsi="Times New Roman" w:cs="Times New Roman" w:eastAsia="Times New Roman"/>
          <w:b w:val="0"/>
          <w:i/>
          <w:sz w:val="28"/>
          <w:u w:val="none"/>
        </w:rPr>
        <w:t>Согласованность между свидетельством модели и экспертной разметкой, а не клиническая локализация патологии; один аннотированный корпус и один фолд;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 xml:space="preserve">Качество классификации сохраняется на всех исследованных камерных группах, а по существу — сокращается разброс качества между этими группами (H-6). </w:t>
      </w:r>
      <w:r>
        <w:rPr>
          <w:rFonts w:ascii="Times New Roman" w:hAnsi="Times New Roman" w:cs="Times New Roman" w:eastAsia="Times New Roman"/>
          <w:b w:val="0"/>
          <w:i/>
          <w:sz w:val="28"/>
          <w:u w:val="none"/>
        </w:rPr>
        <w:t>Обе конфигурации преодолевают порог удержания; две из пяти групп суть сами внешние клинические корпуса и не дают независимого воспроизведения; три группы объединяют несколько моделей камер, а не одно устройство; ничто из этого не составляет сертификации устройств или заявления о готовности к приборно-независимому внедрению.</w:t>
      </w:r>
    </w:p>
    <w:p>
      <w:pPr>
        <w:ind w:left="709" w:hanging="397"/>
        <w:jc w:val="both"/>
      </w:pPr>
      <w:r>
        <w:rPr>
          <w:rFonts w:ascii="Times New Roman" w:hAnsi="Times New Roman" w:cs="Times New Roman" w:eastAsia="Times New Roman"/>
          <w:b w:val="0"/>
          <w:i w:val="0"/>
          <w:sz w:val="28"/>
          <w:u w:val="none"/>
        </w:rPr>
        <w:t>9.</w:t>
        <w:tab/>
        <w:t xml:space="preserve">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доверительном интервале, исключающем ноль, и оценивается на каждом корпусе раздельно (H-7). </w:t>
      </w:r>
      <w:r>
        <w:rPr>
          <w:rFonts w:ascii="Times New Roman" w:hAnsi="Times New Roman" w:cs="Times New Roman" w:eastAsia="Times New Roman"/>
          <w:b w:val="0"/>
          <w:i/>
          <w:sz w:val="28"/>
          <w:u w:val="none"/>
        </w:rPr>
        <w:t>Более высокое абсолютное внешнее качество, а не устойчивость к деградации — относительно собственных внутридоменных уровней обе конфигурации снижаются почти одинаково; запас над минимально значимой величиной на втором корпусе составляет 0,0041, и нижняя граница этого интервала лежит ниже минимально значимой величины.</w:t>
      </w:r>
    </w:p>
    <w:p>
      <w:pPr>
        <w:ind w:left="709" w:hanging="397"/>
        <w:jc w:val="both"/>
      </w:pPr>
      <w:r>
        <w:rPr>
          <w:rFonts w:ascii="Times New Roman" w:hAnsi="Times New Roman" w:cs="Times New Roman" w:eastAsia="Times New Roman"/>
          <w:b w:val="0"/>
          <w:i w:val="0"/>
          <w:sz w:val="28"/>
          <w:u w:val="none"/>
        </w:rPr>
        <w:t>10.</w:t>
        <w:tab/>
        <w:t xml:space="preserve">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нормирует или вычитает внешнее качество ветви относительно её же внутридоменного качества и потому штрафует конфигурацию за внутридоменную силу. </w:t>
      </w:r>
      <w:r>
        <w:rPr>
          <w:rFonts w:ascii="Times New Roman" w:hAnsi="Times New Roman" w:cs="Times New Roman" w:eastAsia="Times New Roman"/>
          <w:b w:val="0"/>
          <w:i/>
          <w:sz w:val="28"/>
          <w:u w:val="none"/>
        </w:rPr>
        <w:t>Аналитично и строго описательно: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11.</w:t>
        <w:tab/>
        <w:t xml:space="preserve">Связанная термо-оптическая модель отклика тканей глазного дна на лазерное воздействие и модульная архитектура автоматизированной системы скрининга ДР для сред с ограниченными ресурсами. </w:t>
      </w:r>
      <w:r>
        <w:rPr>
          <w:rFonts w:ascii="Times New Roman" w:hAnsi="Times New Roman" w:cs="Times New Roman" w:eastAsia="Times New Roman"/>
          <w:b w:val="0"/>
          <w:i/>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ind w:firstLine="709"/>
        <w:jc w:val="both"/>
      </w:pPr>
      <w:r>
        <w:rPr>
          <w:rFonts w:ascii="Times New Roman" w:hAnsi="Times New Roman" w:cs="Times New Roman" w:eastAsia="Times New Roman"/>
          <w:b w:val="0"/>
          <w:i w:val="0"/>
          <w:sz w:val="28"/>
          <w:u w:val="none"/>
        </w:rPr>
        <w:t xml:space="preserve">Ещё один результат предлагается как наблюдение, а не как положение на защиту: в предзарегистрированной оценке на корпусе примерно в семьдесят раз меньшем обучающего, при обучении обеих ветвей из одной инициализации, интегрированная конфигурация вновь оказалась сильнее — с запасом, </w:t>
      </w:r>
      <w:r>
        <w:rPr>
          <w:rFonts w:ascii="Times New Roman" w:hAnsi="Times New Roman" w:cs="Times New Roman" w:eastAsia="Times New Roman"/>
          <w:b/>
          <w:i w:val="0"/>
          <w:sz w:val="28"/>
          <w:u w:val="none"/>
        </w:rPr>
        <w:t>сопоставимым с приростом на обильных данных, но не превосходящим его</w:t>
      </w:r>
      <w:r>
        <w:rPr>
          <w:rFonts w:ascii="Times New Roman" w:hAnsi="Times New Roman" w:cs="Times New Roman" w:eastAsia="Times New Roman"/>
          <w:b w:val="0"/>
          <w:i w:val="0"/>
          <w:sz w:val="28"/>
          <w:u w:val="none"/>
        </w:rPr>
        <w:t>. Задействованный клинический корпус не подлежит распространению, поэтому данный результат внешне невоспроизводим.</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превосходство над какой-либо поименованной опубликованной системой, а также распространение результатов за пределы корпусов, устройств и аппаратуры, на которых они получены.</w:t>
      </w:r>
    </w:p>
    <w:p>
      <w:pPr>
        <w:keepNext/>
        <w:spacing w:before="240" w:after="120"/>
        <w:jc w:val="left"/>
      </w:pPr>
      <w:r>
        <w:rPr>
          <w:rFonts w:ascii="Times New Roman" w:hAnsi="Times New Roman" w:cs="Times New Roman" w:eastAsia="Times New Roman"/>
          <w:b/>
          <w:i w:val="0"/>
          <w:sz w:val="28"/>
          <w:u w:val="none"/>
        </w:rPr>
        <w:t>Теоретическая значимость</w:t>
      </w:r>
    </w:p>
    <w:p>
      <w:pPr>
        <w:ind w:firstLine="709"/>
        <w:jc w:val="both"/>
      </w:pPr>
      <w:r>
        <w:rPr>
          <w:rFonts w:ascii="Times New Roman" w:hAnsi="Times New Roman" w:cs="Times New Roman" w:eastAsia="Times New Roman"/>
          <w:b w:val="0"/>
          <w:i w:val="0"/>
          <w:sz w:val="28"/>
          <w:u w:val="none"/>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и математические формализации порога CLAHE с двойным ограничением — развивающего ранее опубликованные работы соискателя, а не возникающего здесь впервые, — адаптивной flat-field-коррекции и метрики интерпретируемости ALO, а также статистическая система валидации эффектов предобработки в условиях дисбаланса классов. Ещё один вклад имеет иную природу: механизм, до сих пор привлекавшийся как объяснение, сделан измеримым — как величина, вычислимая на предпоследнем слое при заданном протокольном условии (нормализация по статистикам домена-источника), что делает механистическое утверждение фальсифицируемым независимо от объясняемых им утверждений о качестве. Связанная термооптическая модель отклика тканей глазного дна при лазерном воздействии является теоретическим и вычислительным вкладом.</w:t>
      </w:r>
    </w:p>
    <w:p>
      <w:pPr>
        <w:keepNext/>
        <w:spacing w:before="240" w:after="120"/>
        <w:jc w:val="left"/>
      </w:pPr>
      <w:r>
        <w:rPr>
          <w:rFonts w:ascii="Times New Roman" w:hAnsi="Times New Roman" w:cs="Times New Roman" w:eastAsia="Times New Roman"/>
          <w:b/>
          <w:i w:val="0"/>
          <w:sz w:val="28"/>
          <w:u w:val="none"/>
        </w:rPr>
        <w:t>Практическая значимость</w:t>
      </w:r>
    </w:p>
    <w:p>
      <w:pPr>
        <w:ind w:firstLine="709"/>
        <w:jc w:val="both"/>
      </w:pPr>
      <w:r>
        <w:rPr>
          <w:rFonts w:ascii="Times New Roman" w:hAnsi="Times New Roman" w:cs="Times New Roman" w:eastAsia="Times New Roman"/>
          <w:b w:val="0"/>
          <w:i w:val="0"/>
          <w:sz w:val="28"/>
          <w:u w:val="none"/>
        </w:rPr>
        <w:t>Интегрированный конвейер представляет собой полностью специфицированный воспроизводимый режим предобработки для автоматизированной диагностики ДР в условиях вычислительных ограничений: он определён поэтапно, с операторами, параметрами и порядком применения, а его реализация воспроизведена в Приложении A. Однако значения параметров зафиксированы на конкретных корпусах и суть свойства этих корпусов, а не переносимые константы.</w:t>
      </w:r>
    </w:p>
    <w:p>
      <w:pPr>
        <w:ind w:firstLine="709"/>
        <w:jc w:val="both"/>
      </w:pPr>
      <w:r>
        <w:rPr>
          <w:rFonts w:ascii="Times New Roman" w:hAnsi="Times New Roman" w:cs="Times New Roman" w:eastAsia="Times New Roman"/>
          <w:b w:val="0"/>
          <w:i w:val="0"/>
          <w:sz w:val="28"/>
          <w:u w:val="none"/>
        </w:rPr>
        <w:t xml:space="preserve">Предложена модульная архитектура автоматизированной системы скрининга ДР с модулями движка предобработки, инференса, телемедицины в режиме store-and-forward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Это проектная спецификация: прототип не реализован, внедрение в клинических условиях не испытывалось, а положения о защите данных суть соответствие по замыслу, а не сертифицированное соответствие. Система задумана как поддержка принятия решений, при которой диагноз и ответственность за него остаются за врачом; ничто здесь не предлагается как самостоятельный диагностический инструмент. </w:t>
      </w:r>
      <w:r>
        <w:rPr>
          <w:rFonts w:ascii="Times New Roman" w:hAnsi="Times New Roman" w:cs="Times New Roman" w:eastAsia="Times New Roman"/>
          <w:b w:val="0"/>
          <w:i/>
          <w:sz w:val="28"/>
          <w:u w:val="none"/>
        </w:rPr>
        <w:t>(Публикационный и апробационный отчёт приведён в Приложении D.)</w:t>
      </w:r>
    </w:p>
    <w:p>
      <w:pPr>
        <w:keepNext/>
        <w:spacing w:before="240" w:after="120"/>
        <w:jc w:val="left"/>
      </w:pPr>
      <w:r>
        <w:rPr>
          <w:rFonts w:ascii="Times New Roman" w:hAnsi="Times New Roman" w:cs="Times New Roman" w:eastAsia="Times New Roman"/>
          <w:b/>
          <w:i w:val="0"/>
          <w:sz w:val="28"/>
          <w:u w:val="none"/>
        </w:rPr>
        <w:t>Достоверность результатов</w:t>
      </w:r>
    </w:p>
    <w:p>
      <w:pPr>
        <w:ind w:firstLine="709"/>
        <w:jc w:val="both"/>
      </w:pPr>
      <w:r>
        <w:rPr>
          <w:rFonts w:ascii="Times New Roman" w:hAnsi="Times New Roman" w:cs="Times New Roman" w:eastAsia="Times New Roman"/>
          <w:b w:val="0"/>
          <w:i w:val="0"/>
          <w:sz w:val="28"/>
          <w:u w:val="none"/>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критериями успеха, зафиксированными до экспериментов, которые их проверяли, — критерий, написанный после того, как результат стал известен, может быть удовлетворён всегда, поэтому информативной классификацию делает именно порядок. Работа дополнительно помещается в контекст опубликованных систем, но не ранжируется среди них, поскольку никакие две сопоставляемые записи не совпадают одновременно по постановке задачи, корпусу, эталонному стандарту и метрике. Два ограничения этого аппарата заявляются, а не откладываются: поправка на множественные сравнения ограничена тем единственным экспериментом, в рамках которого сравнения планировались, поэтому общедиссертационная вероятность ошибки не заявляется; и ряд оценок опирается на модели одного обученного фолда, поэтому их интервалы количественно описывают лишь выборку оценочного корпуса и занижают полную неопределённость в известную сторону. Третье: один эксперимент опирается на клинический корпус, не подлежащий перераспространению, поэтому внешне невоспроизводим, а калибровка — эмпирическое свойство выходных вероятностей модели, а не гарантия надёжности клинических решений.</w:t>
      </w:r>
    </w:p>
    <w:p>
      <w:pPr>
        <w:keepNext/>
        <w:spacing w:before="240" w:after="120"/>
        <w:jc w:val="left"/>
      </w:pPr>
      <w:r>
        <w:rPr>
          <w:rFonts w:ascii="Times New Roman" w:hAnsi="Times New Roman" w:cs="Times New Roman" w:eastAsia="Times New Roman"/>
          <w:b/>
          <w:i w:val="0"/>
          <w:sz w:val="28"/>
          <w:u w:val="none"/>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u w:val="none"/>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 Документальный отчёт — публикационный каталог вместе с подтверждениями индексации и публикации — воспроизведён в Приложении D.</w:t>
      </w:r>
    </w:p>
    <w:p>
      <w:pPr>
        <w:ind w:firstLine="709"/>
        <w:jc w:val="both"/>
      </w:pPr>
      <w:r>
        <w:rPr>
          <w:rFonts w:ascii="Times New Roman" w:hAnsi="Times New Roman" w:cs="Times New Roman" w:eastAsia="Times New Roman"/>
          <w:b w:val="0"/>
          <w:i w:val="0"/>
          <w:sz w:val="28"/>
          <w:u w:val="none"/>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ind w:firstLine="709"/>
        <w:jc w:val="both"/>
      </w:pPr>
      <w:r>
        <w:rPr>
          <w:rFonts w:ascii="Times New Roman" w:hAnsi="Times New Roman" w:cs="Times New Roman" w:eastAsia="Times New Roman"/>
          <w:b w:val="0"/>
          <w:i w:val="0"/>
          <w:sz w:val="28"/>
          <w:u w:val="none"/>
        </w:rPr>
        <w:t>Речь идёт о соответствии направления исследования опубликованным национальным приоритетам: это не утверждение о финансировании в рамках государственной программы, о заказе какого-либо органа или об институциональном мандате и не заявление о достижении настоящим исследованием какой-либо программной цели.</w:t>
      </w:r>
    </w:p>
    <w:p>
      <w:pPr>
        <w:keepNext/>
        <w:spacing w:before="240" w:after="120"/>
        <w:jc w:val="left"/>
      </w:pPr>
      <w:r>
        <w:rPr>
          <w:rFonts w:ascii="Times New Roman" w:hAnsi="Times New Roman" w:cs="Times New Roman" w:eastAsia="Times New Roman"/>
          <w:b/>
          <w:i w:val="0"/>
          <w:sz w:val="28"/>
          <w:u w:val="none"/>
        </w:rPr>
        <w:t>Публикации</w:t>
      </w:r>
    </w:p>
    <w:p>
      <w:pPr>
        <w:ind w:firstLine="709"/>
        <w:jc w:val="both"/>
      </w:pPr>
      <w:r>
        <w:rPr>
          <w:rFonts w:ascii="Times New Roman" w:hAnsi="Times New Roman" w:cs="Times New Roman" w:eastAsia="Times New Roman"/>
          <w:b w:val="0"/>
          <w:i w:val="0"/>
          <w:sz w:val="28"/>
          <w:u w:val="none"/>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доклад в материалах международной конференции, индексируемых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статьи в журналах, рекомендованных ККСОН Республики Казахстан — 3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u w:val="none"/>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Вестник КазУТБ. — 2024. — Т. 2, № 27-740. https://doi.org/10.58805/kazutb.v.2.27-740</w:t>
      </w:r>
    </w:p>
    <w:p>
      <w:pPr>
        <w:keepNext/>
        <w:spacing w:before="240" w:after="120"/>
        <w:jc w:val="left"/>
      </w:pPr>
      <w:r>
        <w:rPr>
          <w:rFonts w:ascii="Times New Roman" w:hAnsi="Times New Roman" w:cs="Times New Roman" w:eastAsia="Times New Roman"/>
          <w:b/>
          <w:i w:val="0"/>
          <w:sz w:val="28"/>
          <w:u w:val="none"/>
        </w:rPr>
        <w:t>Основное содержание работы</w:t>
      </w:r>
    </w:p>
    <w:p>
      <w:pPr>
        <w:ind w:firstLine="709"/>
        <w:jc w:val="both"/>
      </w:pPr>
      <w:r>
        <w:rPr>
          <w:rFonts w:ascii="Times New Roman" w:hAnsi="Times New Roman" w:cs="Times New Roman" w:eastAsia="Times New Roman"/>
          <w:b/>
          <w:i w:val="0"/>
          <w:sz w:val="28"/>
          <w:u w:val="none"/>
        </w:rPr>
        <w:t>Во введении</w:t>
      </w:r>
      <w:r>
        <w:rPr>
          <w:rFonts w:ascii="Times New Roman" w:hAnsi="Times New Roman" w:cs="Times New Roman" w:eastAsia="Times New Roman"/>
          <w:b w:val="0"/>
          <w:i w:val="0"/>
          <w:sz w:val="28"/>
          <w:u w:val="none"/>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u w:val="none"/>
        </w:rPr>
        <w:t>Глава 1 — «Анализ проблемной области и современное состояние автоматизированной диагностики диабетической ретинопатии»</w:t>
      </w:r>
      <w:r>
        <w:rPr>
          <w:rFonts w:ascii="Times New Roman" w:hAnsi="Times New Roman" w:cs="Times New Roman" w:eastAsia="Times New Roman"/>
          <w:b w:val="0"/>
          <w:i w:val="0"/>
          <w:sz w:val="28"/>
          <w:u w:val="none"/>
        </w:rPr>
        <w:t xml:space="preserve"> рассматривает медицинский и эпидемиологический контекст ДР и системы её клинической градации, требования к скринингу в условиях ограниченных ресурсов, источники деградации качества изображений глазного дна и приборную вариабельность, подходы глубокого обучения к классификации изображений сетчатки (архитектуры CNN, перенос знаний и самообучаемое предобучение, интерпретируемость) и содержит критический анализ существующих автоматизированных систем скрининга ДР, завершаясь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u w:val="none"/>
        </w:rPr>
        <w:t>Глава 2 — «Теоретические основы предварительной обработки изображений и глубокого обучения для анализа изображений глазного дна»</w:t>
      </w:r>
      <w:r>
        <w:rPr>
          <w:rFonts w:ascii="Times New Roman" w:hAnsi="Times New Roman" w:cs="Times New Roman" w:eastAsia="Times New Roman"/>
          <w:b w:val="0"/>
          <w:i w:val="0"/>
          <w:sz w:val="28"/>
          <w:u w:val="none"/>
        </w:rPr>
        <w:t xml:space="preserve"> устанавливает математические основы улучшения изображений (эквализация гистограммы, CLAHE с двойным ограничением, пространственная фильтрация), теоретический аппарат CNN (свёртка, пулинг, функции потерь для несбалансированных данных, регуляризация), перенос знаний и внутридоменное самообучаемое представление, математическое моделирование лазер-тканевого взаимодействия при терапии сетчатки, интерпретируемость (CAM, Grad-CAM, ALO, IoU) и метрики качества изображений для оценки предобработки.</w:t>
      </w:r>
    </w:p>
    <w:p>
      <w:pPr>
        <w:ind w:firstLine="709"/>
        <w:jc w:val="both"/>
      </w:pPr>
      <w:r>
        <w:rPr>
          <w:rFonts w:ascii="Times New Roman" w:hAnsi="Times New Roman" w:cs="Times New Roman" w:eastAsia="Times New Roman"/>
          <w:b/>
          <w:i w:val="0"/>
          <w:sz w:val="28"/>
          <w:u w:val="none"/>
        </w:rPr>
        <w:t>Глава 3 — «Методология проектирования интегрированного конвейера предобработка–CNN»</w:t>
      </w:r>
      <w:r>
        <w:rPr>
          <w:rFonts w:ascii="Times New Roman" w:hAnsi="Times New Roman" w:cs="Times New Roman" w:eastAsia="Times New Roman"/>
          <w:b w:val="0"/>
          <w:i w:val="0"/>
          <w:sz w:val="28"/>
          <w:u w:val="none"/>
        </w:rPr>
        <w:t xml:space="preserve"> формализует единый 8-этапный конвейер предобработки и модифицированный алгоритм CLAHE с двойным ограничением, стратегию аугментации и протокол приёма внешних изображений; специфицирует архитектуры CNN (ResNet-50 и EfficientNet-B3); детализирует методологию переноса знаний и офтальмологически-специфичного самообучаемого предобучения, адаптацию архитектуры для пятиклассовой классификации и формулировку взвешенной (Focal) функции потерь; определяет многометрическую систему оценивания и статистической достоверности.</w:t>
      </w:r>
    </w:p>
    <w:p>
      <w:pPr>
        <w:ind w:firstLine="709"/>
        <w:jc w:val="both"/>
      </w:pPr>
      <w:r>
        <w:rPr>
          <w:rFonts w:ascii="Times New Roman" w:hAnsi="Times New Roman" w:cs="Times New Roman" w:eastAsia="Times New Roman"/>
          <w:b/>
          <w:i w:val="0"/>
          <w:sz w:val="28"/>
          <w:u w:val="none"/>
        </w:rPr>
        <w:t>Глава 4 — «Экспериментальное исследование — влияние предобработки на диагностическое качество CNN»</w:t>
      </w:r>
      <w:r>
        <w:rPr>
          <w:rFonts w:ascii="Times New Roman" w:hAnsi="Times New Roman" w:cs="Times New Roman" w:eastAsia="Times New Roman"/>
          <w:b w:val="0"/>
          <w:i w:val="0"/>
          <w:sz w:val="28"/>
          <w:u w:val="none"/>
        </w:rPr>
        <w:t xml:space="preserve"> представляет уровневую архитектуру наборов данных и восемь исследований: Эксперимент 1 (доминирование интегрированного конвейера на восстановленном факторном плане 2×2, конфигурации A–D), Эксперимент 2 (кумулятивная абляция этапов, свипы порога CLAHE и σ flat-field-коррекции с метриками качества изображений), прямое измерение расстояния «источник—цель» на шести внешних корпусах (H-3), Эксперимент 3 (перенос без дообучения на APTOS 2019), Эксперимент 4 (интерпретируемость Grad-CAM с количественными ALO/IoU на IDRiD), Эксперимент 5 (внешнее клиническое качество на IDRiD и Messidor-2), Эксперимент 6 (доменный сдвиг по устройствам на DDR, ODIR-5K, RFMiD) и Эксперимент 7 (обучение на малых данных на IDRiD с отложенным клиническим набором).</w:t>
      </w:r>
    </w:p>
    <w:p>
      <w:pPr>
        <w:ind w:firstLine="709"/>
        <w:jc w:val="both"/>
      </w:pPr>
      <w:r>
        <w:rPr>
          <w:rFonts w:ascii="Times New Roman" w:hAnsi="Times New Roman" w:cs="Times New Roman" w:eastAsia="Times New Roman"/>
          <w:b/>
          <w:i w:val="0"/>
          <w:sz w:val="28"/>
          <w:u w:val="none"/>
        </w:rPr>
        <w:t>Глава 5 — «Валидация достоверности и сравнительный анализ»</w:t>
      </w:r>
      <w:r>
        <w:rPr>
          <w:rFonts w:ascii="Times New Roman" w:hAnsi="Times New Roman" w:cs="Times New Roman" w:eastAsia="Times New Roman"/>
          <w:b w:val="0"/>
          <w:i w:val="0"/>
          <w:sz w:val="28"/>
          <w:u w:val="none"/>
        </w:rPr>
        <w:t xml:space="preserve"> консолидирует результаты по интерпретируемости, статистическую валидацию (бутстреп-доверительные интервалы и модели со смешанными эффектами, итоговые классификации силы утверждений), помещение работы в контекст опубликованных систем без ранжирования среди них и компромисс «качество—сложность», а также формулирует ограничения и граничные условия предложенного подхода.</w:t>
      </w:r>
    </w:p>
    <w:p>
      <w:pPr>
        <w:ind w:firstLine="709"/>
        <w:jc w:val="both"/>
      </w:pPr>
      <w:r>
        <w:rPr>
          <w:rFonts w:ascii="Times New Roman" w:hAnsi="Times New Roman" w:cs="Times New Roman" w:eastAsia="Times New Roman"/>
          <w:b/>
          <w:i w:val="0"/>
          <w:sz w:val="28"/>
          <w:u w:val="none"/>
        </w:rPr>
        <w:t>Глава 6 — «Архитектура автоматизированной системы скрининга ДР для сред с ограниченными ресурсами»</w:t>
      </w:r>
      <w:r>
        <w:rPr>
          <w:rFonts w:ascii="Times New Roman" w:hAnsi="Times New Roman" w:cs="Times New Roman" w:eastAsia="Times New Roman"/>
          <w:b w:val="0"/>
          <w:i w:val="0"/>
          <w:sz w:val="28"/>
          <w:u w:val="none"/>
        </w:rPr>
        <w:t xml:space="preserve"> специфицирует функциональные и нефункциональные требования, модульную архитектуру с интеграцией PACS и EHR, модуль ИИ-обработки (настраиваемый движок предобработки и модуль инференса), интеграцию клинического рабочего процесса (телемедицина, поддержка портативных устройств и национальной платформы электронного здравоохранения, поддержка принятия решений «врач-в-контуре») и систему обеспечения безопасности данных и нормативного соответствия (согласованную с GDPR/HIPAA), а также её применимость к инфраструктуре здравоохранения Казахстана.</w:t>
      </w:r>
    </w:p>
    <w:p>
      <w:pPr>
        <w:keepNext/>
        <w:spacing w:before="240" w:after="120"/>
        <w:jc w:val="left"/>
      </w:pPr>
      <w:r>
        <w:rPr>
          <w:rFonts w:ascii="Times New Roman" w:hAnsi="Times New Roman" w:cs="Times New Roman" w:eastAsia="Times New Roman"/>
          <w:b/>
          <w:i w:val="0"/>
          <w:sz w:val="28"/>
          <w:u w:val="none"/>
        </w:rPr>
        <w:t>Личный вклад автора</w:t>
      </w:r>
    </w:p>
    <w:p>
      <w:pPr>
        <w:ind w:firstLine="709"/>
        <w:jc w:val="both"/>
      </w:pPr>
      <w:r>
        <w:rPr>
          <w:rFonts w:ascii="Times New Roman" w:hAnsi="Times New Roman" w:cs="Times New Roman" w:eastAsia="Times New Roman"/>
          <w:b w:val="0"/>
          <w:i w:val="0"/>
          <w:sz w:val="28"/>
          <w:u w:val="none"/>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u w:val="none"/>
        </w:rPr>
        <w:t>Структура и объём диссертации</w:t>
      </w:r>
    </w:p>
    <w:p>
      <w:pPr>
        <w:ind w:firstLine="709"/>
        <w:jc w:val="both"/>
      </w:pPr>
      <w:r>
        <w:rPr>
          <w:rFonts w:ascii="Times New Roman" w:hAnsi="Times New Roman" w:cs="Times New Roman" w:eastAsia="Times New Roman"/>
          <w:b w:val="0"/>
          <w:i w:val="0"/>
          <w:sz w:val="28"/>
          <w:u w:val="none"/>
        </w:rPr>
        <w:t>Диссертация состоит из предваряющих разделов — нормативных ссылок, определений, обозначений и сокращений, — за которыми следуют введение, шесть глав, заключение, список использованных источников и шесть приложений (A–F): исходный код конвейера предобработки, дополнительные экспериментальные результаты и матрицы ошибок, диаграммы архитектуры системы, публикационный и апробационный отчёт, галерея карт внимания и дополнительные таблицы по оценке доменного сдвига на устройствах.</w:t>
      </w:r>
    </w:p>
    <w:p>
      <w:pPr>
        <w:ind w:firstLine="709"/>
        <w:jc w:val="both"/>
      </w:pPr>
      <w:r>
        <w:rPr>
          <w:rFonts w:ascii="Times New Roman" w:hAnsi="Times New Roman" w:cs="Times New Roman" w:eastAsia="Times New Roman"/>
          <w:b w:val="0"/>
          <w:i w:val="0"/>
          <w:sz w:val="28"/>
          <w:u w:val="none"/>
        </w:rPr>
        <w:t>Диссертация изложена на 265 страницах и содержит 42 таблицы, 26 рисунков и 2 схемы. Список использованных источников насчитывает 107 наименований.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