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ОТЗЫВ ОФИЦИАЛЬНОГО РЕЦЕНЗЕНТА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на диссертационную работу Есмухамедова Нурмаганбета Сейткалиулы на тему «Компьютерная система обработки и анализа данных глазного дна для поддержки лазерной коагуляции при лечении диабетической ретинопатии», представленную на соискание степени доктора философии (PhD) по образовательной программе 8D06102 — «Компьютерная и программная инженерия»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2"/>
        <w:gridCol w:w="3642"/>
        <w:gridCol w:w="3642"/>
        <w:gridCol w:w="3642"/>
      </w:tblGrid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№ п/п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Критерии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Соответствие критериям (подчеркнуть один из вариантов ответа)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Обоснование позиции официального рецензента (замечания выделить курсивом)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диссертации (на дату ее утверждения) соответствует направлениям развития науки и/или государственным программам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1.1 Соответствие приоритетным направлениям развития науки или государственным программам: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1) диссертация выполнена в рамках проекта или целевой программы, финансируемого(ой) из государственного бюджета (указать название и номер проекта или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диссертация выполнена в рамках другой государственной программы (указать название программы);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3) диссертация соответствует приоритетному направлению развития науки, утвержденному Высшей научно-технической комиссией при Правительстве Республики Казахстан (указать направление).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Тема соответствует приоритетному направлению развития науки «Информационно-коммуникационные технологии», утверждённому Высшей научно-технической комиссией при Правительстве Республики Казахстан, а также государственным приоритетам цифровизации здравоохранения. Документы, которым соответствует направление работы: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1. Концепция развития искусственного интеллекта на 2024–2029 годы.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2. Послание Президента Республики Казахстан «Казахстан в эпоху искусственного интеллекта» от 8 сентября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3. Закон Республики Казахстан «Об искусственном интеллекте» № 230-VIII от 17 ноября 2025 года.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 Подпункт 2 пункта 3 статьи 20 Закона Республики Казахстан «О науке», в соответствии с которым выполнена работа.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заявляет — и я это подтверждаю, — что исследование не финансировалось из государственного бюджета и не выполнялось в рамках государственной программы; заявлено соответствие направления, а не мандат. Со стороны применения соответствие тесное: диабетическая ретинопатия входит в число ведущих причин предотвратимой слепоты у населения трудоспособного возраста, охват скринингом в сельских и удалённых регионах ограничен числом офтальмологов, а не наличием камер, а национальная платформа электронного здравоохранения является естественной точкой интеграции для скрининговой службы такого рода.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Важность для науки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Работа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вносит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вносит существенный вклад в науку, а ее важность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хорошо раскрыта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раскрыта.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Вклад существенен, и его центр тяжести, в моём прочтении, лежит в том, что работа устанавливает о поведении модели за пределами обучающего домена. Литература регулярно сообщает о внутридоменном выигрыше от улучшения изображений и столь же регулярно оставляет внешние следствия этого выигрыша на уровне предположения. Здесь вопрос поставлен прямо и раздельно на семи корпусах помимо обучающего, полученных камерами четырёх производителей, а ответ приводится корпус за корпусом, без агрегирования в единый показатель.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Наряду с этим механизм, обычно привлекаемый для объяснения такого поведения, — сокращение расстояния между обучающим и целевым распределениями — измеряется, а не постулируется: на предпоследнем слое и при обязательном условии, что нормализация использует статистики домена-источника и никогда не пересчитывается на цели, так что измеряемая величина остаётся свойством предобработки, а не подогнанной к цели процедуры. Важность работы раскрыта точно: том заявляет, что именно внешние результаты устанавливают, и с той же определённостью — чего они не устанавливают.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самостоятельности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Уровень самостоятельности: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высокий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низкий;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самостоятельности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Соискатель спроектировал, провёл и проанализировал всю экспериментальную программу, включая внешние оценки на корпусах, которые он не создавал, и том разграничивает его собственный вклад и предшествующие работы там, где они соприкасаются.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подлинной самостоятельности, а не в добротном исполнении, меня убеждают два обстоятельства. Первое — приёмочный шлюз, применённый к инициализации интегрированной ветви: вместо того чтобы принять стратегию предобучения на веру, соискатель проверил конкурирующие инициализации линейным зондом с замороженным backbone и сообщает, что самообучение без меток, обученное с нуля на внутридоменном корпусе, шлюз не прошло и допущено не было. Второе — аналитическое выявление дефекта, общего для трёх широко используемых в этой литературе мер устойчивости; этот вывод лишает соискателя удобного способа представления собственных внешних результатов и прямо заявлен как строго описательный. Из пяти публикаций по теме в двух соискатель является первым автором.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внутреннего единства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4.1 Обоснование актуальности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обоснована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обоснована;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обоснована.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Актуальность обоснована с обеих сторон — клиническая потребность в охвате скринингом при дефиците специалистов и методологический пробел в трактовке предобработки, — и ни одна из сторон не сведена к общему призыву. Клиническая часть изложена в терминах, понятных оператору службы: бессимптомные ранние стадии, растущее число пациентов с диабетом и узкое место, которое является кадровым, а не приборным. Методологическая часть называет конкретное отсутствие и затем его закрывает.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4.2 Содержание диссертации отражает тему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отражает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отражает;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отражает.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Содержание отвечает заявленной теме и отвечает ей во всём диапазоне, который тема подразумевает, а не на одном обучающем корпусе: улучшение и классификация трактуются как единый объект, и далее этот объект прослеживается ещё на семи корпусах. Том, остановившийся на внутридоменном сопоставлении, всё равно соответствовал бы заглавию; этот идёт заметно дальше.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4.3 Цель и задачи соответствуют теме диссертации: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соответствуют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соответствуют;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соответствуют.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Цель и шесть задач соответствуют теме и друг другу: анализ проблемной области, теоретические основы, формализация методологии, экспериментальная программа, аппарат достоверности и архитектура системы скрининга. Последняя задача — та, которую в технической диссертации легче всего оставить декоративной, — таковой не является: архитектура специфицирована против функциональных и нефункциональных требований, установленных предшествующими главами.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4.4 Все разделы и положения диссертации логически взаимосвязаны: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взаимосвязаны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взаимосвязь частичная;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взаимосвязь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Внутреннее единство несёт на себе не только последовательность глав, но и архитектура данных: восемь корпусов организованы по функциональным уровням, каждый уровень отвечает на один вопрос — основное обучение и абляция; межнаборный перенос; интерпретируемость относительно пиксельной разметки; внешняя клиническая оценка; доменный сдвиг по устройствам; обучение при дефиците данных, — и ни один корпус не привлекается к ответу на два вопроса без прямого о том указания. Там, где две из пяти камерных групп совпадают с внешними клиническими корпусами, том это констатирует и отказывается засчитывать их как независимое воспроизведение.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4.5 Предложенные автором новые решения (принципы, методы) аргументированы и оценены по сравнению с известными решениями: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критический анализ есть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анализ частичный;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анализ представляет собой не собственные мнения, а цитаты других авторов;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анализ отсутствует.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Критический анализ в главах 1 и 5 принадлежит автору: существующие системы сопоставлены, их ограничения аргументированы, а сама работа сознательно помещена в их контекст без ранжирования среди них, поскольку никакие две сопоставляемые записи не совпадают одновременно по постановке задачи, корпусу, эталонному стандарту и метрике. Та же дисциплина распространена на собственные меры: три широко используемые меры устойчивости разобраны аналитически, и у них найден общий структурный дефект — это критическая оценка инструментов области, а не её результатов.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научной новизны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5.1 Научные результаты и положения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Из двенадцати заявленных в томе элементов новизны наиболее существенными считаю следующие. Метрика перекрытия «внимание—очаг», введённая как первичная и намеренно асимметричная мера интерпретируемости: она сообщает долю экспертно размеченного очага, покрытую вниманием модели, что и есть интересующая скринингового читателя величина, и дополняется симметричной метрикой Intersection-over-Union как вторичной проверкой; том аккуратно описывает, что метрика устанавливает — согласованность свидетельства модели с экспертной разметкой — и не называет это локализацией патологии. Прямое измерение расстояния «источник—цель» на предпоследнем слое на шести внешних корпусах ценой одних лишь прямых проходов, причём фальсифицируемость измерения зафиксирована до его выполнения: два этапа конвейера по построению привязаны к домену-источнику, поэтому обращение результата было реальной возможностью, а не риторической фигурой. Валидация конвейера на многоуровневой многонаборной и многоприборной архитектуре, охватывающей камеры четырёх производителей, причём корпуса, размеченные в многозаболеваемых таксономиях, используются только как источники меток диабетической ретинопатии. Аналитическое выявление структурного дефекта, общего для величины деградации, коэффициента обобщения и коэффициента удержания. И сам 8-этапный конвейер, формализованный как компонент модели, в котором маска поля зрения передаётся сети 4-м входным каналом.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Два вклада неэмпиричны по замыслу, и том объявляет их таковыми: связанная термооптическая модель лазерного воздействия есть вклад теоретический и вычислительный, архитектура системы скрининга — вклад проектный.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5.2 Выводы диссертации являются новыми?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(новыми являются 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(новыми являются 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Наиболее значимые для применения выводы новы. То, что межгрупповой разброс качества сокращается в интегрированной конфигурации и наибольший прирост приходится на слабейшую камерную группу, — это вывод о форме распределения качества, а не о его среднем, а обещания скрининговой службы определяются именно формой. То, что сокращение расстояния «источник—цель» присутствует везде, а его величина не отслеживает никакого прироста качества, — вывод, ограничивающий допустимые ссылки на механизм, и том делает его вопреки собственному интересу.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5.3 Технические, технологические, экономические или управленческие решения являются новыми и обоснованными: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Предложенная архитектура системы скрининга представляет собой новое технологическое и управленческое решение: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 и интеграция с системами PACS/EHR и национальной платформой электронного здравоохранения. Она обоснована против заявленных функциональных и нефункциональных требований и против вычислительного контура, посильного региональному учреждению, и выносится как проектная спецификация, а не как реализованная система.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6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Обоснованность основных выводов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Все основные выводы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основаны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 основаны на весомых с научной точки зрения доказательствах либо достаточно хорошо обоснованы.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Доказательная база адекватна тем выводам, которые из неё извлекаются. Основные эксперименты опираются на 5-кратную перекрёстную проверку со стратификацией на уровне пациента и контролем утечки на примерно 35 126 размеченных изображениях, результаты приводятся в виде «среднее ± стандартное отклонение» по четырём метрикам; внешние оценки опираются на корпуса объёмом 413 и 1 744 изображения соответственно, причём разности приводятся вместе с бутстреп-интервалами и p-значениями, а не как точечные оценки.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гипотез выполнена тестами Макнемара и ДеЛонга, поправка на множественные сравнения — по Холму/Бонферрони, изменчивость по фолдам моделируется смешанными эффектами. Критерии зафиксированы до экспериментов, которые их проверяли, — именно это позволяет читать исходы как проверки, а не как описания. Там, где критерий преодолевают обе ветви — как порог обобщения в эксперименте по переносу и порог удержания в эксперименте по устройствам, — том это констатирует и помещает доказательство в сравнение, а не в порог. Такое прочтение верно, и то, что автор делает его сам, укрепляет моё доверие к остальному.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Основные положения, выносимые на защиту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Необходимо ответить на следующие вопросы по каждому положению в отдельности: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ли положение? 1) доказано; 2) скорее доказано; 3) скорее не доказано; 4) не доказано; 5) в текущей формулировке проверить доказанность положения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7.2 Является ли тривиальным?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7.3 Является ли новым? 1) да; 2) нет; 3)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7.4 Уровень для применения: 1) узкий; 2) средний; 3) широкий; 4) проверить невозможно.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7.5 Доказано ли в статье? 1) да; 2) нет; 3) проверить невозможно.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защиту выносится одиннадцать положений; ответ по каждому даётся ниже в порядке 7.1 / 7.2 / 7.3 / 7.4 / 7.5.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Предобработка как компонент диагностической модели — переосмысление от сквозной парадигмы к интегрированной.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Методологическое и неэмпирическое, вынесено именно в этой силе.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2.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Интегрированная конфигурация доминирует над базовой на EyePACS на обеих архитектурах по конъюнктивному предварительно зарегистрированному критерию.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Критерий удовлетворён по всем трём компонентам на обеих архитектурах, взаимодействия с архитектурой нет (p = 0,31). Положение касается конфигурации как целого, поскольку ветви различаются и инициализацией.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3.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Внутренние оптимумы параметров CLAHE и σ flat-field-коррекции в исследованных диапазонах.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Ограничено просмотренными диапазонами и подтверждено на отложенных данных; значения суть свойства корпуса, а не переносимые константы.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4.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Разделимость, монотонность и упорядочиваемость вкладов этапов.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только на уровне разрешения групп, при лидирующих двух фотометрических этапах и соседних рангах в пределах шума.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5.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Сокращение расстояния «источник—цель» на каждом внешнем корпусе.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Расстояние сократилось на всех шести корпусах, каждый интервал исключает ноль, дивергенция поканальных гистограмм упала примерно на треть в том же направлении. Положение вынесено только по направлению, и это верно: величина сокращения не отслеживает величину прироста качества, а само утверждение механистично и не несёт заявлений о диагностическом качестве или совместимости с устройствами.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6.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Перенос на APTOS 2019 без дообучения с преодолением G ≥ 0,85.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 = 0,8976 против 0,8577 у базовой ветви, weighted F1 0,6465 → 0,7354, Δ = +0,0889 при интервале [+0,0681; +0,1197]. Порог преодолевают обе ветви, поэтому доказательство лежит в сравнении.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7.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тесная согласованность внимания с экспертной разметкой очагов.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Установлено по всем четырём аннотированным типам очагов, по обеим мерам и устойчиво по порогу внимания. Это согласованность, а не клиническая локализация, на одном корпусе и одном фолде, причём качественное исследование на клиническом корпусе выполнено не было.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8.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Сохранение качества на камерных группах при сокращении разброса.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Все пять групп преодолевают порог удержания в обеих ветвях, а содержательным результатом является сокращение межгруппового разброса weighted F1 с 0,0306 до 0,0130 при интервале, исключающем ноль, причём наибольший прирост приходится на слабейшую группу. Две из пяти групп суть сами внешние клинические корпуса, три объединяют несколько моделей камер, а не одно устройство, и ничто из этого не составляет сертификации устройств.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9.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Более высокое абсолютное внешнее weighted F1 на обоих клинических корпусах, причём каждая разность достигает минимально клинически значимой величины при интервале, исключающем ноль.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0,5938 → 0,6627 при Δ = +0,0689 и интервале [+0,0494; +0,0968] и 0,6282 → 0,6823 при Δ = +0,0541 и интервале [+0,0362; +0,0814]. Вынесено как утверждение о более высоком абсолютном внешнем качестве и прямо не как об устойчивости к деградации: относительно собственных внутридоменных уровней обе конфигурации снижаются почти одинаково. См. также замечание 1 ниже о запасе на втором корпусе.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10.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Структурный дефект, общий для трёх широко используемых мер внешней устойчивости.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доказано · 7.2 нет · 7.3 да · 7.4 широкий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Аналитично, строго описательно, не реабилитирует ни один результат настоящей работы.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  <w:vMerge/>
          </w:tcPr>
          <w:p/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Положение 11.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Связанная термооптическая модель лазерного воздействия и модульная архитектура системы скрининга.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7.1 скорее доказано · 7.2 нет · 7.3 да · 7.4 средний · 7.5 да.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Теоретический и проектный вклад соответственно, клинически не валидированные, не прототипированные и не испытанные в полевых условиях.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Отмечаю, что том прямо не выносит на защиту клиническую валидность, готовность к автономному внедрению, сертификацию устройств, локализацию патологии и превосходство над какой-либо поименованной опубликованной системой.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достоверности. Достоверность источников и предоставляемой информации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8.1 Выбор методологии обоснован или методология достаточно подробно описана: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Выбор методов обоснован в каждой точке, где существовала альтернатива, а описание достаточно детально для повторения: архитектуры и режим их обучения, функция потерь и её взвешивание, входное разрешение, построение фолдов и явный протокол приёма изображений, поступающих извне обучающего корпуса, — последнее и есть тот элемент, от которого зависело бы внедрение и который чаще всего оставляют неспецифицированным.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8.2 Результаты диссертационной работы получены с использованием современных методов научных исследований и методик обработки и интерпретации данных с применением компьютерных технологий: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Методы современны и уместны: свёрточная классификация на двух устоявшихся семействах backbone-архитектур при пятиклассовой градации, Focal Loss с весами, обратными частоте классов, вход 512 × 512, стратифицированные на уровне пациента фолды, градиентный анализ внимания относительно пиксельной разметки и распределенческая мера по признакам предпоследнего слоя. Эмпирическая база документирована покорпусно, с указанием устройства съёмки и функции, а корпуса, размеченные в многозаболеваемых таксономиях, используются только как источники меток диабетической ретинопатии — ограничение, существенное для валидности результатов по доменному сдвигу, и оно соблюдено.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8.3 Теоретические выводы, модели, выявленные взаимосвязи и закономерности доказаны и подтверждены экспериментальным исследованием: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Теоретические утверждения подтверждаются экспериментально, а не остаются заявлениями: абляция воспроизводит весь внутридоменный прирост +0,0655 при единой инициализации, свипы подтверждают свои оптимумы на отложенных данных, а качество изображений подтверждается независимо от классификатора отношением контраст/шум, энтропией и SSIM. Механистическое утверждение подтверждается в том же духе — измеряется напрямую на шести корпусах, а затем ограничивается заявлением о направлении, когда измерение не поддержало большего.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8.4 Важные утверждения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подтверждены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частично подтверждены / не подтверждены ссылками на актуальную и достоверную научную литературу.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Ссылочный аппарат актуален там, где этого требует предмет, и консервативен в клинической части, а используется для подтверждения, а не для украшения: там, где том отказывается ранжировать себя среди опубликованных систем, он приводит методологическое основание и те источники, против которых сопоставление предпринималось.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8.5 Использованные источники литературы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достаточны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 / недостаточны для литературного обзора.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из 107 источников достаточен и соответствует предмету.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также заявляет три ограничения собственного аппарата — ограниченность поправки на множественные сравнения рамками одного эксперимента, однофолдовую основу ряда оценок и клинический корпус, не подлежащий перераспространению, из-за чего один результат внешне невоспроизводим, — и отделяет калибровку, которую измеряет и приводит, от какой бы то ни было гарантии надёжности клинических решений. Наличие этих заявлений повышает, а не снижает мою оценку достоверности работы.</w:t>
            </w:r>
          </w:p>
        </w:tc>
      </w:tr>
      <w:tr>
        <w:tc>
          <w:tcPr>
            <w:tcW w:type="dxa" w:w="583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2477"/>
            <w:vMerge w:val="restart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Принцип практической ценности</w:t>
            </w:r>
          </w:p>
          <w:p>
            <w:pPr>
              <w:spacing w:line="240" w:lineRule="auto"/>
              <w:ind w:firstLine="0"/>
            </w:pPr>
            <w:r/>
          </w:p>
          <w:p>
            <w:pPr>
              <w:spacing w:line="240" w:lineRule="auto"/>
              <w:ind w:firstLine="0"/>
            </w:pPr>
            <w:r/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9.1 Диссертация имеет теоретическое значение: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Теоретическое значение двояко: переосмысление предобработки как компонента модели вместе с потребовавшимися формализациями и превращение объяснительного допущения в измеримую и фальсифицируемую величину. Второе из двух переносимее: протокольное условие, при котором вычисляется расстояние, может быть применено другими к режимам предобработки, не имеющим к настоящему никакого отношения.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9.2 Диссертация имеет практическое значение и существует высокая вероятность применения полученных результатов на практике: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да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нет.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Практическая ценность, на мой взгляд, является сильнейшей стороной работы, и она опирается на два обстоятельства, редко присутствующих вместе. Первое — конвейер специфицирован полностью: поэтапно, с операторами, параметрами и порядком применения, с реализацией в приложении, и укладывается в контур, доступный региональному учреждению: один ускоритель на 12 ГБ, размер пакета 16, вход 512 × 512. Второе — его поведение охарактеризовано за пределами обучающего домена, на внешних клинических корпусах и по камерным группам, а это и есть то свидетельство, которое требуется оператору службы прежде, чем рассматривать внедрение; при этом сокращение межгруппового разброса качества операционно ценнее среднего прироста, поскольку качество скрининговой службы определяется слабейшей камерной группой.</w:t>
            </w:r>
          </w:p>
        </w:tc>
      </w:tr>
      <w:tr>
        <w:tc>
          <w:tcPr>
            <w:tcW w:type="dxa" w:w="583"/>
            <w:vMerge/>
          </w:tcPr>
          <w:p/>
        </w:tc>
        <w:tc>
          <w:tcPr>
            <w:tcW w:type="dxa" w:w="2477"/>
            <w:vMerge/>
          </w:tcPr>
          <w:p/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9.3 Предложения для практики являются новыми: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полностью новые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частично новые (25-75%);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не новые (менее 25%).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Модульная архитектура — настраиваемый движок предобработки, модуль инференса, телемедицина в режиме store-and-forward для прерывистой связи, поддержка принятия решений «врач-в-контуре», интеграция с PACS/EHR и национальной платформой электронного здравоохранения — непосредственно применима к скринингу в сельских и удалённых регионах Казахстана и нова как целое. Тем не менее это проектная спецификация: прототип не реализован, внедрение в клинических условиях не испытывалось, положения о защите данных суть соответствие по замыслу, а не сертифицированное соответствие, а диагноз и ответственность за него остаются за врачом. Значения параметров суть свойства тех корпусов, на которых они зафиксированы, и для новых условий съёмки потребуют повторного определения.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10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написания и оформления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Качество академического письма: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single"/>
              </w:rPr>
              <w:t>1) высокое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2) среднее;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3) ниже среднего;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4) низкое.</w:t>
            </w:r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Том изложен на 265 страницах, содержит 42 таблицы, 26 рисунков и две схемы и опирается на 107 источников; обозначения единообразны, сокращения объявлены в отдельном регистре, иллюстрации читаемы и пронумерованы в порядке следования по документу, оформление соответствует применимому государственному стандарту.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Особого упоминания заслуживает, однако, дисциплина языка, которым сообщаются результаты. Каждое итоговое положение несёт свою оговорку непосредственно при себе; внешние результаты приводятся покорпусно и никогда не сливаются в одно число; там, где порог преодолевают обе ветви, текст об этом говорит, а не выдаёт преодоление за различающий результат; различие между тем, что измерено, что спроектировано и что смоделировано теоретически, выдерживается последовательно. Читатель этого тома не рискует вынести из него утверждение более сильное, чем поддержанное данными, а это качество нечастое.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11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Замечания к диссертации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1. Во внешней клинической оценке запас, на который разность на втором корпусе превосходит минимально клинически значимую величину, составляет 0,0041 (Δ = 0,0541 при пороге 0,050), а нижняя граница соответствующего интервала, +0,0362, лежит ниже этого порога. Принятый критерий требует Δ ≥ MCID вместе с нижней границей выше нуля и потому удовлетворён, и вердикт я не оспариваю; но прохождение на этом корпусе опирается на форму критерия, а не на комфортный запас. Это указано в разделе ограничений, и это следует указать ещё раз, одной фразой, там, где результат сообщается впервые.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2. Корреляция между измеренным сокращением расстояния «источник—цель» и наблюдаемым приростом при переносе по внешним корпусам слаба (ρ ≈ 0,49), поэтому механистический результат поддерживает утверждение о направлении, но не о величине. Том верно указывает это в оговорке к соответствующему положению, однако глава, где приводится само измерение, завершается без повторения оговорки. Поскольку именно к этой главе обратится читатель, ссылающийся на механизм, прочтение «только по направлению» следует повторить в её собственных выводах.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3. Программа эксперимента по интерпретируемости объявляет качественное исследование карт внимания на казахстанском клиническом корпусе, и это исследование выполнено не было; количественная половина относительно пиксельной разметки выполнена полностью и поддерживает соответствующее положение. Отсутствие раскрыто, что я отмечаю с одобрением, но раскрыто позже, чем объявлено. Предпочтительно пометить его как задел на будущее там, где качественная составляющая заявляется впервые, чтобы читатель не оставался в ожидании результата, который не последует.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Перечисленные замечания касаются подачи результатов, а не их существа, не затрагивают обоснованности выводов и не изменяют моей общей положительной оценки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Научный уровень статей докторанта по теме исследования (в случае защиты диссертации в форме серии статей официальные рецензенты комментируют научный уровень каждой статьи)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Результаты диссертации опубликованы в пяти научных работах, соответствующих её теме.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1. Статья в журнале, индексируемом Scopus,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Eastern-European Journal of Enterprise Technologies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4, No. 9(136), pp. 79–88, квартиль Q3, CiteScore 2025 = 2,5, 42-й перцентиль в категории Computer Science Applications (№ 590 из 1022) и 44-й перцентиль в категории Control and Systems Engineering (№ 217 из 390).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2. Доклад в индексируемых Scopus материалах международной конференции —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Procedia Computer Science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2025, Vol. 272, pp. 496–501, представленный на 3-м Международном семинаре «Цифровое общество» (DS 2025, г. Стамбул, Турция).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3–5. Три статьи в журналах, рекомендованных Комитетом по обеспечению качества в сфере науки и высшего образования Республики Казахстан: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Известия НАН РК, серия физико-математическая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Vol. 2(354), pp. 74–91;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Казахстанско-Британского технического университета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 xml:space="preserve">, 2025, № 4(75), Т. 22, С. 119–130;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8"/>
                <w:u w:val="none"/>
              </w:rPr>
              <w:t>Вестник КазУТБ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, 2024, Т. 2, № 27-740.</w:t>
            </w:r>
          </w:p>
          <w:p>
            <w:pPr>
              <w:spacing w:line="240" w:lineRule="auto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Публикации покрывают основные направления диссертации — улучшение изображений глазного дна, методы предобработки и анализа, архитектуру информационной системы здравоохранения и математическое моделирование лазерного воздействия на ткани глазного дна, — а приводимые в них результаты согласуются с представленными в томе. Их научный уровень отвечает требованиям, установленным для защиты докторской диссертации.</w:t>
            </w:r>
          </w:p>
        </w:tc>
      </w:tr>
      <w:tr>
        <w:tc>
          <w:tcPr>
            <w:tcW w:type="dxa" w:w="583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13</w:t>
            </w:r>
          </w:p>
        </w:tc>
        <w:tc>
          <w:tcPr>
            <w:tcW w:type="dxa" w:w="2477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Решение официального рецензента (согласно пункту 28 настоящего Типового положения)</w:t>
            </w:r>
          </w:p>
        </w:tc>
        <w:tc>
          <w:tcPr>
            <w:tcW w:type="dxa" w:w="3643"/>
          </w:tcPr>
          <w:p>
            <w:pPr>
              <w:spacing w:line="240" w:lineRule="auto"/>
              <w:ind w:firstLine="0"/>
            </w:pPr>
            <w:r/>
          </w:p>
        </w:tc>
        <w:tc>
          <w:tcPr>
            <w:tcW w:type="dxa" w:w="7868"/>
          </w:tcPr>
          <w:p>
            <w:pPr>
              <w:spacing w:line="240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Ходатайствовать перед Комитетом для присуждения докторанту степени доктора философии (PhD).</w:t>
            </w:r>
          </w:p>
        </w:tc>
      </w:tr>
    </w:tbl>
    <w:p/>
    <w:p>
      <w:pPr>
        <w:keepNext/>
        <w:spacing w:before="240" w:after="12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Заключение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Представленная диссертация на соискание степени доктора философии (PhD) 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Есмухамедова Нурмаганбета Сейткалиулы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на тему «Компьютерная система обработки и анализа данных глазного дна для поддержки лазерной коагуляции при лечении диабетической ретинопатии» является законченной самостоятельной научно-исследовательской работой, которая отвечает требованиям «Правил присуждения степеней», а ее автор заслуживает ходатайствовать перед Комитетом о присуждении степени доктора философии (PhD) по образовательной программе 8D06102 — «Компьютерная и программная инженерия».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Официальный рецензент:</w:t>
      </w:r>
    </w:p>
    <w:p>
      <w:pPr>
        <w:spacing w:after="0" w:before="28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PhD, ассоциированный профессор</w:t>
      </w:r>
    </w:p>
    <w:p>
      <w:pPr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профессор-исследователь кафедры «Математическое и компьютерное моделирование»</w:t>
      </w:r>
    </w:p>
    <w:p>
      <w:pPr>
        <w:tabs>
          <w:tab w:pos="14570" w:val="right"/>
        </w:tabs>
        <w:spacing w:after="0" w:before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АО «Международный университет информационных технологий», г. Алматы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Омаров Батырхан Султанович</w:t>
      </w:r>
    </w:p>
    <w:sectPr w:rsidR="00FC693F" w:rsidRPr="0006063C" w:rsidSect="00034616">
      <w:footerReference w:type="default" r:id="rId9"/>
      <w:footerReference w:type="first" r:id="rId10"/>
      <w:pgSz w:w="16838" w:h="11906" w:orient="landscape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