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DEFINITIONS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Architectural complexity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capacity of a CNN as defined by the number of convolutional layers, total trainable-parameter count, filter-size range, and the presence or absence of regularization components (batch normalization, dropout).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Baseline (baseline arm)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reference configuration of Experiment 1: stretch-resize to 512×512 followed by ImageNet normalization, producing a 3-channel tensor with no field-of-view mask and no preprocessing stages; the backbone is initialized from ImageNet.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CLAHE (Contrast-Limited Adaptive Histogram Equalization)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an adaptive contrast-enhancement method operating on local image tiles with a clip limit that bounds contrast amplification; applied in the pipeline to the LAB L-channel under a dual-constraint clip limit (Stage 5).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Composite independent variable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combined manipulated factor of Experiment 1 (H-1), in which the full-pipeline arm differs from baseline jointly along the preprocessing axis (eight-stage pipeline vs. stretch-resize + ImageNet normalize) and the pretraining axis (ophthalmology-specific self-supervised pretraining vs. ImageNet).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Convolutional Neural Network (CNN)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neural architecture comprising convolutional and pooling layers for feature extraction and fully connected layers for classification; the classification backbone operating on preprocessed fundus images for five-class DR staging.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Cross-validation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validation strategy using 5-fold patient-level stratified splitting; for each fold, four folds serve as training data and one as test data, with no patient's images appearing in both partitions; metrics are reported as mean ± standard deviation across folds.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image transformations (unified affine, ColorJitter [brightness/contrast/saturation/hue], Gaussian noise, JPEG compression) applied to the training data to increase variability and improve generalization; the train-only Stage 6 of the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Dataset-specific normalization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channel-wise normalization (Stage 7) using mean and standard deviation computed from the training split of the primary dataset rather than ImageNet statistics; the normalization of the full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Diabetic retinopathy (DR)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microvascular complication of diabetes mellitus and a leading cause of preventable vision loss, graded in five severity stages (0 — none, 1 — mild, 2 — moderate, 3 — severe, 4 — proliferative).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Diagnostic effectiveness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joint performance profile on four primary metrics (accuracy, weighted F1-score, ROC-AUC, and Cohen's Kappa with quadratic weights) computed on the held-out test partition.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Domain shift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distributional difference between training data and target deployment data arising from differences in imaging equipment, patient populations, or acquisition protocols.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Field-of-view (FOV) mask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binary spatial mask (1.0 = real fundus data, 0.0 = zero-padding) generated at Stage 3 and appended as the 4th input channel, allowing the CNN to distinguish genuine retinal pixels from padded background.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Flat-field correction (adaptive)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Gaussian-blur subtraction with adaptive σ = 0.07·D (D = FOV diameter), applied inside the FOV mask to normalize uneven illumination while preserving local contrast; Stage 4 of the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Fundus image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retinal photograph acquired by fundoscopy; the exclusive imaging modality of the dissertation and the input to the preprocessing pipeline and the CNN classifier.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Generalization (cross-database)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ratio of test-set F1-score on a secondary dataset to test-set F1-score on the primary dataset under the same trained model without retraining; the generalization ratio G = F1_external / F1_EyePACS.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Grad-CAM (Gradient-weighted Class Activation Mapping)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an explainability method producing class-discriminative localization maps from a gradient-weighted combination of final convolutional feature maps; an interpretability tool, not a clinical localization of pathology.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Image quality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measurable capacity of a fundus image to support automated detection of microvascular features relevant to DR staging, assessed through downstream classification performance rather than a subjective visual score.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Integrated pipeline dominance (H-1)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primary hypothesis that the integrated full-pipeline configuration outperforms the baseline as a unitary system, validated when the empirical dominance criterion (≥ 5 pp weighted-F1 gain, ≥ 0.02 ROC-AUC gain, no Cohen's Kappa degradation) is satisfied.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Ophthalmology-specific self-supervised pretraining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self-supervised pretraining of the CNN backbone on an unlabeled retinal fundus corpus (no DR labels), used as the full-pipeline-arm initialization; learns fundus-domain representations directly on the 4-channel pipeline tensor.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Physician-in-the-loop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design paradigm in which the clinician acts not merely as a consumer of AI outputs but as a tuner and auditor who interprets results and adjusts the system; the proposed system is a decision-support tool within this paradigm.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Preprocessing pipeline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canonical ordered eight-stage sequence (Stages 0–7) applied to fundus images prior to CNN input; the full pipeline applies all eight stages, producing a 4-channel tensor (RGB + FOV mask).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Resource-limited environment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deployment context characterized by at least two of: absence of GPU acceleration; available RAM below 16 GB; batch-processing-time constraints; network connectivity precluding continuous cloud-API reliance.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Transfer learning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reuse and adaptation of pretrained network weights to the fundus-image domain; under H-1 the initialization source is slaved to the arm (ImageNet for baseline, ophthalmology-specific SSL for the full pipeline).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Weighted loss function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cross-entropy loss with class-specific weights addressing class imbalance and exploiting the ordinal structure of the five-class DR grading.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