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ScriptLens Engineering Manual</w:t>
        <w:br/>
        <w:t>Volume 1 – Foundation &amp; Corpus Design</w:t>
        <w:br/>
        <w:t>Edition 2</w:t>
      </w:r>
    </w:p>
    <w:p>
      <w:pPr>
        <w:pStyle w:val="Heading2"/>
      </w:pPr>
      <w:r>
        <w:t>Chapter 10 – Complete Corpus Architecture</w:t>
      </w:r>
    </w:p>
    <w:p>
      <w:r>
        <w:t>Define six corpora: Gold, Mutation, Replay, Production Bug, Benchmark, Performance. Explain inputs, outputs, ownership, acceptance criteria, and relationships.</w:t>
      </w:r>
    </w:p>
    <w:p>
      <w:pPr>
        <w:pStyle w:val="Heading2"/>
      </w:pPr>
      <w:r>
        <w:t>Chapter 11 – Gold Corpus Standards</w:t>
      </w:r>
    </w:p>
    <w:p>
      <w:r>
        <w:t>Each screenplay requires metadata, scene IDs, summaries, characters, locations, objects, dependency graph, approval history, version ID, and legal ownership.</w:t>
      </w:r>
    </w:p>
    <w:p>
      <w:pPr>
        <w:pStyle w:val="Heading2"/>
      </w:pPr>
      <w:r>
        <w:t>Chapter 12 – Mutation Taxonomy</w:t>
      </w:r>
    </w:p>
    <w:p>
      <w:r>
        <w:t>Organize mutations into Scene (delete, move, split, merge, duplicate), Character (rename, remove introduction, remove motivation), Object (rename, remove setup, remove payoff), Timeline, Dialogue, and Composite mutations. Each mutation changes one structural aspect unless marked composite.</w:t>
      </w:r>
    </w:p>
    <w:p>
      <w:pPr>
        <w:pStyle w:val="Heading2"/>
      </w:pPr>
      <w:r>
        <w:t>Chapter 13 – Regression Test Package</w:t>
      </w:r>
    </w:p>
    <w:p>
      <w:r>
        <w:t>Every regression package contains: screenplay, mutation specification, expected graph, edge diff, impacted scenes, orphan list, reviewer notes, version number.</w:t>
      </w:r>
    </w:p>
    <w:p>
      <w:pPr>
        <w:pStyle w:val="Heading2"/>
      </w:pPr>
      <w:r>
        <w:t>Chapter 14 – JSON Schemas</w:t>
      </w:r>
    </w:p>
    <w:p>
      <w:r>
        <w:t>Define JSON documents for screenplay metadata, mutation request, expected graph, orphan report, replay sequence, and regression result. Keep schemas versioned.</w:t>
      </w:r>
    </w:p>
    <w:p>
      <w:pPr>
        <w:pStyle w:val="Heading2"/>
      </w:pPr>
      <w:r>
        <w:t>Chapter 15 – Database Design</w:t>
      </w:r>
    </w:p>
    <w:p>
      <w:r>
        <w:t>Recommended tables: Scripts, Scenes, Characters, Objects, Mutations, RegressionCases, ReplayEvents, ReviewHistory, ProductionBugs.</w:t>
      </w:r>
    </w:p>
    <w:p>
      <w:pPr>
        <w:pStyle w:val="Heading2"/>
      </w:pPr>
      <w:r>
        <w:t>Chapter 16 – Engineering Standards</w:t>
      </w:r>
    </w:p>
    <w:p>
      <w:r>
        <w:t>SES-001: Every regression has one expected result. SES-002: Every mutation has a unique ID. SES-003: Production bugs become permanent regressions. SES-004: Dual review before gold labels. SES-005: Replay tests must be deterministic.</w:t>
      </w:r>
    </w:p>
    <w:p>
      <w:pPr>
        <w:pStyle w:val="Heading2"/>
      </w:pPr>
      <w:r>
        <w:t>Chapter 17 – Coverage Metrics</w:t>
      </w:r>
    </w:p>
    <w:p>
      <w:r>
        <w:t>Track parser coverage, mutation coverage, graph coverage, orphan coverage, replay coverage, production bug coverage, execution time, false positives, false negatives.</w:t>
      </w:r>
    </w:p>
    <w:p>
      <w:pPr>
        <w:pStyle w:val="Heading2"/>
      </w:pPr>
      <w:r>
        <w:t>Appendix</w:t>
      </w:r>
    </w:p>
    <w:p>
      <w:r>
        <w:t>Include sample folder tree, naming conventions, and release checklist.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