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771" w14:textId="689BC4C5" w:rsidR="006758C9" w:rsidRPr="006758C9" w:rsidRDefault="006758C9" w:rsidP="006758C9">
      <w:pPr>
        <w:pStyle w:val="Citadestacada"/>
        <w:rPr>
          <w:rFonts w:ascii="Century Gothic" w:hAnsi="Century Gothic"/>
          <w:b/>
          <w:bCs/>
          <w:color w:val="auto"/>
          <w:sz w:val="32"/>
          <w:szCs w:val="32"/>
        </w:rPr>
      </w:pPr>
      <w:r w:rsidRPr="006758C9">
        <w:rPr>
          <w:rFonts w:ascii="Century Gothic" w:hAnsi="Century Gothic"/>
          <w:b/>
          <w:bCs/>
          <w:color w:val="auto"/>
          <w:sz w:val="32"/>
          <w:szCs w:val="32"/>
        </w:rPr>
        <w:t>Referencias bibliográficas</w:t>
      </w:r>
    </w:p>
    <w:p w14:paraId="00138BFF" w14:textId="1D19BF91" w:rsidR="006758C9" w:rsidRPr="006758C9" w:rsidRDefault="006758C9" w:rsidP="006758C9">
      <w:pPr>
        <w:tabs>
          <w:tab w:val="num" w:pos="720"/>
        </w:tabs>
        <w:spacing w:before="240" w:line="276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758C9">
        <w:rPr>
          <w:rFonts w:ascii="Century Gothic" w:hAnsi="Century Gothic"/>
          <w:b/>
          <w:bCs/>
          <w:sz w:val="24"/>
          <w:szCs w:val="24"/>
        </w:rPr>
        <w:t>Libros</w:t>
      </w:r>
    </w:p>
    <w:p w14:paraId="547E6813" w14:textId="77777777" w:rsidR="00E22BED" w:rsidRPr="006758C9" w:rsidRDefault="00E22BED" w:rsidP="006758C9">
      <w:pPr>
        <w:numPr>
          <w:ilvl w:val="0"/>
          <w:numId w:val="3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r w:rsidRPr="006758C9">
        <w:rPr>
          <w:rFonts w:ascii="Century Gothic" w:hAnsi="Century Gothic"/>
          <w:sz w:val="24"/>
          <w:szCs w:val="24"/>
        </w:rPr>
        <w:t xml:space="preserve">Mockapetris, P. (1987). </w:t>
      </w:r>
      <w:proofErr w:type="spellStart"/>
      <w:r w:rsidRPr="006758C9">
        <w:rPr>
          <w:rFonts w:ascii="Century Gothic" w:hAnsi="Century Gothic"/>
          <w:sz w:val="24"/>
          <w:szCs w:val="24"/>
        </w:rPr>
        <w:t>Domain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names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- </w:t>
      </w:r>
      <w:proofErr w:type="spellStart"/>
      <w:r w:rsidRPr="006758C9">
        <w:rPr>
          <w:rFonts w:ascii="Century Gothic" w:hAnsi="Century Gothic"/>
          <w:sz w:val="24"/>
          <w:szCs w:val="24"/>
        </w:rPr>
        <w:t>implementation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6758C9">
        <w:rPr>
          <w:rFonts w:ascii="Century Gothic" w:hAnsi="Century Gothic"/>
          <w:sz w:val="24"/>
          <w:szCs w:val="24"/>
        </w:rPr>
        <w:t>specification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. RFC 1035. </w:t>
      </w:r>
      <w:hyperlink r:id="rId5" w:tgtFrame="_new" w:history="1">
        <w:r w:rsidRPr="006758C9">
          <w:rPr>
            <w:rStyle w:val="Hipervnculo"/>
            <w:rFonts w:ascii="Century Gothic" w:hAnsi="Century Gothic"/>
            <w:sz w:val="24"/>
            <w:szCs w:val="24"/>
          </w:rPr>
          <w:t>https://tools.ietf.org/html/rfc1035</w:t>
        </w:r>
      </w:hyperlink>
    </w:p>
    <w:p w14:paraId="106B73A0" w14:textId="77777777" w:rsidR="00E22BED" w:rsidRPr="006758C9" w:rsidRDefault="00E22BED" w:rsidP="006758C9">
      <w:pPr>
        <w:numPr>
          <w:ilvl w:val="0"/>
          <w:numId w:val="3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 w:rsidRPr="006758C9">
        <w:rPr>
          <w:rFonts w:ascii="Century Gothic" w:hAnsi="Century Gothic"/>
          <w:sz w:val="24"/>
          <w:szCs w:val="24"/>
        </w:rPr>
        <w:t>Albitz</w:t>
      </w:r>
      <w:proofErr w:type="spellEnd"/>
      <w:r w:rsidRPr="006758C9">
        <w:rPr>
          <w:rFonts w:ascii="Century Gothic" w:hAnsi="Century Gothic"/>
          <w:sz w:val="24"/>
          <w:szCs w:val="24"/>
        </w:rPr>
        <w:t>, P., &amp; Liu, C. (2016). DNS and BIND (5th ed.). O'Reilly Media.</w:t>
      </w:r>
    </w:p>
    <w:p w14:paraId="053F88FC" w14:textId="77777777" w:rsidR="00E22BED" w:rsidRPr="006758C9" w:rsidRDefault="00E22BED" w:rsidP="006758C9">
      <w:pPr>
        <w:numPr>
          <w:ilvl w:val="0"/>
          <w:numId w:val="3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r w:rsidRPr="006758C9">
        <w:rPr>
          <w:rFonts w:ascii="Century Gothic" w:hAnsi="Century Gothic"/>
          <w:sz w:val="24"/>
          <w:szCs w:val="24"/>
        </w:rPr>
        <w:t xml:space="preserve">Comer, D. E., &amp; Stevens, D. L. (2012). </w:t>
      </w:r>
      <w:proofErr w:type="spellStart"/>
      <w:r w:rsidRPr="006758C9">
        <w:rPr>
          <w:rFonts w:ascii="Century Gothic" w:hAnsi="Century Gothic"/>
          <w:sz w:val="24"/>
          <w:szCs w:val="24"/>
        </w:rPr>
        <w:t>Internetworking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with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TCP/IP: </w:t>
      </w:r>
      <w:proofErr w:type="spellStart"/>
      <w:r w:rsidRPr="006758C9">
        <w:rPr>
          <w:rFonts w:ascii="Century Gothic" w:hAnsi="Century Gothic"/>
          <w:sz w:val="24"/>
          <w:szCs w:val="24"/>
        </w:rPr>
        <w:t>Principles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758C9">
        <w:rPr>
          <w:rFonts w:ascii="Century Gothic" w:hAnsi="Century Gothic"/>
          <w:sz w:val="24"/>
          <w:szCs w:val="24"/>
        </w:rPr>
        <w:t>protocols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, and </w:t>
      </w:r>
      <w:proofErr w:type="spellStart"/>
      <w:r w:rsidRPr="006758C9">
        <w:rPr>
          <w:rFonts w:ascii="Century Gothic" w:hAnsi="Century Gothic"/>
          <w:sz w:val="24"/>
          <w:szCs w:val="24"/>
        </w:rPr>
        <w:t>architecture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(6th ed., vol. 1). Pearson </w:t>
      </w:r>
      <w:proofErr w:type="spellStart"/>
      <w:r w:rsidRPr="006758C9">
        <w:rPr>
          <w:rFonts w:ascii="Century Gothic" w:hAnsi="Century Gothic"/>
          <w:sz w:val="24"/>
          <w:szCs w:val="24"/>
        </w:rPr>
        <w:t>Education</w:t>
      </w:r>
      <w:proofErr w:type="spellEnd"/>
      <w:r w:rsidRPr="006758C9">
        <w:rPr>
          <w:rFonts w:ascii="Century Gothic" w:hAnsi="Century Gothic"/>
          <w:sz w:val="24"/>
          <w:szCs w:val="24"/>
        </w:rPr>
        <w:t>.</w:t>
      </w:r>
    </w:p>
    <w:p w14:paraId="7176E670" w14:textId="77777777" w:rsidR="00E22BED" w:rsidRPr="006758C9" w:rsidRDefault="00E22BED" w:rsidP="006758C9">
      <w:pPr>
        <w:numPr>
          <w:ilvl w:val="0"/>
          <w:numId w:val="3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r w:rsidRPr="006758C9">
        <w:rPr>
          <w:rFonts w:ascii="Century Gothic" w:hAnsi="Century Gothic"/>
          <w:sz w:val="24"/>
          <w:szCs w:val="24"/>
        </w:rPr>
        <w:t xml:space="preserve">Larson, M. G., &amp; </w:t>
      </w:r>
      <w:proofErr w:type="spellStart"/>
      <w:r w:rsidRPr="006758C9">
        <w:rPr>
          <w:rFonts w:ascii="Century Gothic" w:hAnsi="Century Gothic"/>
          <w:sz w:val="24"/>
          <w:szCs w:val="24"/>
        </w:rPr>
        <w:t>Wessels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, D. (2005). </w:t>
      </w:r>
      <w:proofErr w:type="spellStart"/>
      <w:r w:rsidRPr="006758C9">
        <w:rPr>
          <w:rFonts w:ascii="Century Gothic" w:hAnsi="Century Gothic"/>
          <w:sz w:val="24"/>
          <w:szCs w:val="24"/>
        </w:rPr>
        <w:t>The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Domain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Name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System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. In Network Security </w:t>
      </w:r>
      <w:proofErr w:type="spellStart"/>
      <w:r w:rsidRPr="006758C9">
        <w:rPr>
          <w:rFonts w:ascii="Century Gothic" w:hAnsi="Century Gothic"/>
          <w:sz w:val="24"/>
          <w:szCs w:val="24"/>
        </w:rPr>
        <w:t>with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OpenSSL (pp. 99-126). O'Reilly Media.</w:t>
      </w:r>
    </w:p>
    <w:p w14:paraId="79734E0C" w14:textId="7DE03337" w:rsidR="00E22BED" w:rsidRPr="006758C9" w:rsidRDefault="006758C9" w:rsidP="006758C9">
      <w:pPr>
        <w:spacing w:before="240" w:line="276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758C9">
        <w:rPr>
          <w:rFonts w:ascii="Century Gothic" w:hAnsi="Century Gothic"/>
          <w:b/>
          <w:bCs/>
          <w:sz w:val="24"/>
          <w:szCs w:val="24"/>
        </w:rPr>
        <w:t>Páginas Web</w:t>
      </w:r>
    </w:p>
    <w:p w14:paraId="578609D6" w14:textId="77777777" w:rsidR="00E22BED" w:rsidRPr="006758C9" w:rsidRDefault="00E22BED" w:rsidP="006758C9">
      <w:pPr>
        <w:numPr>
          <w:ilvl w:val="0"/>
          <w:numId w:val="4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r w:rsidRPr="006758C9">
        <w:rPr>
          <w:rFonts w:ascii="Century Gothic" w:hAnsi="Century Gothic"/>
          <w:sz w:val="24"/>
          <w:szCs w:val="24"/>
        </w:rPr>
        <w:t xml:space="preserve">Internet </w:t>
      </w:r>
      <w:proofErr w:type="spellStart"/>
      <w:r w:rsidRPr="006758C9">
        <w:rPr>
          <w:rFonts w:ascii="Century Gothic" w:hAnsi="Century Gothic"/>
          <w:sz w:val="24"/>
          <w:szCs w:val="24"/>
        </w:rPr>
        <w:t>Assigned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Numbers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Authority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(IANA): </w:t>
      </w:r>
      <w:hyperlink r:id="rId6" w:tgtFrame="_new" w:history="1">
        <w:r w:rsidRPr="006758C9">
          <w:rPr>
            <w:rStyle w:val="Hipervnculo"/>
            <w:rFonts w:ascii="Century Gothic" w:hAnsi="Century Gothic"/>
            <w:sz w:val="24"/>
            <w:szCs w:val="24"/>
          </w:rPr>
          <w:t>https://www.iana.org/</w:t>
        </w:r>
      </w:hyperlink>
    </w:p>
    <w:p w14:paraId="4C342ABD" w14:textId="77777777" w:rsidR="00E22BED" w:rsidRPr="006758C9" w:rsidRDefault="00E22BED" w:rsidP="006758C9">
      <w:pPr>
        <w:numPr>
          <w:ilvl w:val="0"/>
          <w:numId w:val="4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 w:rsidRPr="006758C9">
        <w:rPr>
          <w:rFonts w:ascii="Century Gothic" w:hAnsi="Century Gothic"/>
          <w:sz w:val="24"/>
          <w:szCs w:val="24"/>
        </w:rPr>
        <w:t>Domain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Name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758C9">
        <w:rPr>
          <w:rFonts w:ascii="Century Gothic" w:hAnsi="Century Gothic"/>
          <w:sz w:val="24"/>
          <w:szCs w:val="24"/>
        </w:rPr>
        <w:t>System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Security </w:t>
      </w:r>
      <w:proofErr w:type="spellStart"/>
      <w:r w:rsidRPr="006758C9">
        <w:rPr>
          <w:rFonts w:ascii="Century Gothic" w:hAnsi="Century Gothic"/>
          <w:sz w:val="24"/>
          <w:szCs w:val="24"/>
        </w:rPr>
        <w:t>Extensions</w:t>
      </w:r>
      <w:proofErr w:type="spellEnd"/>
      <w:r w:rsidRPr="006758C9">
        <w:rPr>
          <w:rFonts w:ascii="Century Gothic" w:hAnsi="Century Gothic"/>
          <w:sz w:val="24"/>
          <w:szCs w:val="24"/>
        </w:rPr>
        <w:t xml:space="preserve"> (DNSSEC): </w:t>
      </w:r>
      <w:hyperlink r:id="rId7" w:tgtFrame="_new" w:history="1">
        <w:r w:rsidRPr="006758C9">
          <w:rPr>
            <w:rStyle w:val="Hipervnculo"/>
            <w:rFonts w:ascii="Century Gothic" w:hAnsi="Century Gothic"/>
            <w:sz w:val="24"/>
            <w:szCs w:val="24"/>
          </w:rPr>
          <w:t>https://www.dnssec.net/</w:t>
        </w:r>
      </w:hyperlink>
    </w:p>
    <w:p w14:paraId="08585FE4" w14:textId="77777777" w:rsidR="00E22BED" w:rsidRPr="006758C9" w:rsidRDefault="00E22BED" w:rsidP="006758C9">
      <w:pPr>
        <w:numPr>
          <w:ilvl w:val="0"/>
          <w:numId w:val="4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r w:rsidRPr="006758C9">
        <w:rPr>
          <w:rFonts w:ascii="Century Gothic" w:hAnsi="Century Gothic"/>
          <w:sz w:val="24"/>
          <w:szCs w:val="24"/>
        </w:rPr>
        <w:t xml:space="preserve">Verisign: </w:t>
      </w:r>
      <w:hyperlink r:id="rId8" w:tgtFrame="_new" w:history="1">
        <w:r w:rsidRPr="006758C9">
          <w:rPr>
            <w:rStyle w:val="Hipervnculo"/>
            <w:rFonts w:ascii="Century Gothic" w:hAnsi="Century Gothic"/>
            <w:sz w:val="24"/>
            <w:szCs w:val="24"/>
          </w:rPr>
          <w:t>https://www.verisign.com/</w:t>
        </w:r>
      </w:hyperlink>
    </w:p>
    <w:p w14:paraId="41636F64" w14:textId="77777777" w:rsidR="00E22BED" w:rsidRPr="006758C9" w:rsidRDefault="00E22BED" w:rsidP="006758C9">
      <w:pPr>
        <w:numPr>
          <w:ilvl w:val="0"/>
          <w:numId w:val="4"/>
        </w:numPr>
        <w:spacing w:before="240" w:line="276" w:lineRule="auto"/>
        <w:jc w:val="both"/>
        <w:rPr>
          <w:rFonts w:ascii="Century Gothic" w:hAnsi="Century Gothic"/>
          <w:sz w:val="24"/>
          <w:szCs w:val="24"/>
        </w:rPr>
      </w:pPr>
      <w:r w:rsidRPr="006758C9">
        <w:rPr>
          <w:rFonts w:ascii="Century Gothic" w:hAnsi="Century Gothic"/>
          <w:sz w:val="24"/>
          <w:szCs w:val="24"/>
        </w:rPr>
        <w:t xml:space="preserve">ICANN: </w:t>
      </w:r>
      <w:hyperlink r:id="rId9" w:tgtFrame="_new" w:history="1">
        <w:r w:rsidRPr="006758C9">
          <w:rPr>
            <w:rStyle w:val="Hipervnculo"/>
            <w:rFonts w:ascii="Century Gothic" w:hAnsi="Century Gothic"/>
            <w:sz w:val="24"/>
            <w:szCs w:val="24"/>
          </w:rPr>
          <w:t>https://www.icann.org/</w:t>
        </w:r>
      </w:hyperlink>
    </w:p>
    <w:p w14:paraId="1EB526B2" w14:textId="4DC45591" w:rsidR="00E22BED" w:rsidRPr="006758C9" w:rsidRDefault="00E22BED" w:rsidP="00E22BED">
      <w:pPr>
        <w:rPr>
          <w:rFonts w:ascii="Century Gothic" w:hAnsi="Century Gothic"/>
          <w:sz w:val="24"/>
          <w:szCs w:val="24"/>
        </w:rPr>
      </w:pPr>
    </w:p>
    <w:p w14:paraId="750CD2BF" w14:textId="77777777" w:rsidR="008A2CD1" w:rsidRPr="00E22BED" w:rsidRDefault="00000000"/>
    <w:sectPr w:rsidR="008A2CD1" w:rsidRPr="00E22BED" w:rsidSect="006758C9">
      <w:pgSz w:w="12240" w:h="15840"/>
      <w:pgMar w:top="1417" w:right="1701" w:bottom="1417" w:left="1701" w:header="708" w:footer="708" w:gutter="0"/>
      <w:pgBorders w:offsetFrom="page">
        <w:top w:val="thickThinLargeGap" w:sz="24" w:space="24" w:color="FAC7A8"/>
        <w:left w:val="thickThinLargeGap" w:sz="24" w:space="24" w:color="FAC7A8"/>
        <w:bottom w:val="thinThickLargeGap" w:sz="24" w:space="24" w:color="FAC7A8"/>
        <w:right w:val="thinThickLargeGap" w:sz="24" w:space="24" w:color="FAC7A8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733"/>
    <w:multiLevelType w:val="multilevel"/>
    <w:tmpl w:val="487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F6EBD"/>
    <w:multiLevelType w:val="multilevel"/>
    <w:tmpl w:val="1BB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676C6"/>
    <w:multiLevelType w:val="multilevel"/>
    <w:tmpl w:val="AA8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E00FB"/>
    <w:multiLevelType w:val="multilevel"/>
    <w:tmpl w:val="7C7A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41033">
    <w:abstractNumId w:val="3"/>
  </w:num>
  <w:num w:numId="2" w16cid:durableId="2042051950">
    <w:abstractNumId w:val="1"/>
  </w:num>
  <w:num w:numId="3" w16cid:durableId="1785074092">
    <w:abstractNumId w:val="2"/>
  </w:num>
  <w:num w:numId="4" w16cid:durableId="41505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7A"/>
    <w:rsid w:val="001348E7"/>
    <w:rsid w:val="00155887"/>
    <w:rsid w:val="0064427A"/>
    <w:rsid w:val="006758C9"/>
    <w:rsid w:val="00E2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D442"/>
  <w15:chartTrackingRefBased/>
  <w15:docId w15:val="{AB2DB7E0-A818-4323-90A8-C487697A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4427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22BED"/>
    <w:rPr>
      <w:color w:val="AD1F1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BED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8C9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8C9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isig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nssec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ols.ietf.org/html/rfc10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cann.org/" TargetMode="Externa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CARBAJAL ARMENTA, YESSENIA PAOLA</dc:creator>
  <cp:keywords/>
  <dc:description/>
  <cp:lastModifiedBy>CARBAJAL ARMENTA, YESSENIA PAOLA</cp:lastModifiedBy>
  <cp:revision>2</cp:revision>
  <dcterms:created xsi:type="dcterms:W3CDTF">2023-03-15T23:24:00Z</dcterms:created>
  <dcterms:modified xsi:type="dcterms:W3CDTF">2023-03-16T01:02:00Z</dcterms:modified>
</cp:coreProperties>
</file>