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full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Company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 host company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The final table of contents should be generated or updated in Microsoft Word after all page numbers are finalized.</w:t>
      </w:r>
    </w:p>
    <w:p>
      <w:r>
        <w:br w:type="page"/>
      </w:r>
    </w:p>
    <w:p>
      <w:pPr>
        <w:pStyle w:val="Heading1"/>
      </w:pPr>
      <w:r>
        <w:t>List of Figures</w:t>
      </w:r>
    </w:p>
    <w:p>
      <w:pPr>
        <w:spacing w:after="120" w:line="269" w:lineRule="auto"/>
      </w:pPr>
      <w:r>
        <w:t>The list of figures should be updated after inserting the final exported diagrams and screenshots.</w:t>
      </w:r>
    </w:p>
    <w:p>
      <w:r>
        <w:br w:type="page"/>
      </w:r>
    </w:p>
    <w:p>
      <w:pPr>
        <w:pStyle w:val="Heading1"/>
      </w:pPr>
      <w:r>
        <w:t>List of Tables</w:t>
      </w:r>
    </w:p>
    <w:p>
      <w:pPr>
        <w:spacing w:after="120" w:line="269" w:lineRule="auto"/>
      </w:pPr>
      <w:r>
        <w:t>The list of tables should be updated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The host company presentation should include the official organization name, business area, services, target clients, structure, and the department or team that supervised the internship. In this report, the project is described as GoFit, a software platform dedicated to fitness tracking, personalized coaching,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2.4: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2.5: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2.6: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2.7: Feature coverage by product area</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2.8: Sprint planning used in this report</w:t>
      </w:r>
    </w:p>
    <w:p>
      <w:pPr>
        <w:jc w:val="center"/>
      </w:pPr>
      <w:r>
        <w:drawing>
          <wp:inline xmlns:a="http://schemas.openxmlformats.org/drawingml/2006/main" xmlns:pic="http://schemas.openxmlformats.org/drawingml/2006/picture">
            <wp:extent cx="5806440" cy="2622909"/>
            <wp:docPr id="4" name="Picture 4"/>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pStyle w:val="Heading2"/>
      </w:pPr>
      <w:r>
        <w:t>3.1 Needs Assessment</w:t>
      </w:r>
    </w:p>
    <w:p>
      <w:pPr>
        <w:spacing w:after="120" w:line="269" w:lineRule="auto"/>
      </w:pPr>
      <w:r>
        <w:t>The sprint needs were selected from the product backlog according to dependency order, user value, and technical feasibility.</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and complete a workout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selects a workout, starts a session, completes sets, uses the rest timer, and saves the workout summary.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pauses, exits, or edits set data before completion.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workout_sessions row stores duration, exercises_completed, calories, and notes.</w:t>
            </w:r>
          </w:p>
        </w:tc>
      </w:tr>
    </w:tbl>
    <w:p>
      <w:pPr>
        <w:spacing w:before="40" w:after="160"/>
        <w:jc w:val="center"/>
      </w:pPr>
      <w:r>
        <w:rPr>
          <w:i/>
          <w:sz w:val="19"/>
        </w:rPr>
        <w:t>Table 3.2: Use case textual description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jc w:val="center"/>
      </w:pPr>
      <w:r>
        <w:drawing>
          <wp:inline xmlns:a="http://schemas.openxmlformats.org/drawingml/2006/main" xmlns:pic="http://schemas.openxmlformats.org/drawingml/2006/picture">
            <wp:extent cx="5806440" cy="2622909"/>
            <wp:docPr id="9" name="Picture 9"/>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2"/>
      </w:pPr>
      <w:r>
        <w:t>3.4 Sprint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credentials open the correct navigator.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creation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custom workout is saved with ordered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Sets, reps, weights, rest time, and summary are stored.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starts, pauses, resumes, warns, and completes.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3.3: Sprint test cases</w:t>
      </w:r>
    </w:p>
    <w:p>
      <w:pPr>
        <w:pStyle w:val="Heading2"/>
      </w:pPr>
      <w:r>
        <w:t>3.5 Sprint Burn Down Chart</w:t>
      </w:r>
    </w:p>
    <w:p>
      <w:pPr>
        <w:jc w:val="center"/>
      </w:pPr>
      <w:r>
        <w:drawing>
          <wp:inline xmlns:a="http://schemas.openxmlformats.org/drawingml/2006/main" xmlns:pic="http://schemas.openxmlformats.org/drawingml/2006/picture">
            <wp:extent cx="5806440" cy="2622909"/>
            <wp:docPr id="10" name="Picture 10"/>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delivered a coherent increment of the GoFit platform and prepared the dependencies required by the following sprint.</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pStyle w:val="Heading2"/>
      </w:pPr>
      <w:r>
        <w:t>4.1 Needs Assessment</w:t>
      </w:r>
    </w:p>
    <w:p>
      <w:pPr>
        <w:spacing w:after="120" w:line="269" w:lineRule="auto"/>
      </w:pPr>
      <w:r>
        <w:t>The sprint needs were selected from the product backlog according to dependency order, user value, and technical feasibility.</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has workout, measurement, or nutrition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progress screens, selects a metric, and views charts or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data exists, the system displays an empty state and invites the user to log data.</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clear view of fitness evolution over time.</w:t>
            </w:r>
          </w:p>
        </w:tc>
      </w:tr>
    </w:tbl>
    <w:p>
      <w:pPr>
        <w:spacing w:before="40" w:after="160"/>
        <w:jc w:val="center"/>
      </w:pPr>
      <w:r>
        <w:rPr>
          <w:i/>
          <w:sz w:val="19"/>
        </w:rPr>
        <w:t>Table 4.2: Use case textual description</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jc w:val="center"/>
      </w:pPr>
      <w:r>
        <w:drawing>
          <wp:inline xmlns:a="http://schemas.openxmlformats.org/drawingml/2006/main" xmlns:pic="http://schemas.openxmlformats.org/drawingml/2006/picture">
            <wp:extent cx="5806440" cy="2622909"/>
            <wp:docPr id="14" name="Picture 14"/>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5" name="Picture 15"/>
            <wp:cNvGraphicFramePr>
              <a:graphicFrameLocks noChangeAspect="1"/>
            </wp:cNvGraphicFramePr>
            <a:graphic>
              <a:graphicData uri="http://schemas.openxmlformats.org/drawingml/2006/picture">
                <pic:pic>
                  <pic:nvPicPr>
                    <pic:cNvPr id="0" name="figure_4_6_ai_cv_pipeline.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AI and computer vision pipeline for body measurements</w:t>
      </w:r>
    </w:p>
    <w:p>
      <w:pPr>
        <w:pStyle w:val="Heading3"/>
      </w:pPr>
      <w:r>
        <w:t>4.3.2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4.4: AI and computer vision models used in GoFit</w:t>
      </w:r>
    </w:p>
    <w:p>
      <w:pPr>
        <w:pStyle w:val="Heading3"/>
      </w:pPr>
      <w:r>
        <w:t>4.3.3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4.3.4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6" name="Picture 16"/>
            <wp:cNvGraphicFramePr>
              <a:graphicFrameLocks noChangeAspect="1"/>
            </wp:cNvGraphicFramePr>
            <a:graphic>
              <a:graphicData uri="http://schemas.openxmlformats.org/drawingml/2006/picture">
                <pic:pic>
                  <pic:nvPicPr>
                    <pic:cNvPr id="0" name="figure_4_7_model_flow.png"/>
                    <pic:cNvPicPr/>
                  </pic:nvPicPr>
                  <pic:blipFill>
                    <a:blip r:embed="rId24"/>
                    <a:stretch>
                      <a:fillRect/>
                    </a:stretch>
                  </pic:blipFill>
                  <pic:spPr>
                    <a:xfrm>
                      <a:off x="0" y="0"/>
                      <a:ext cx="5806440" cy="3283642"/>
                    </a:xfrm>
                    <a:prstGeom prst="rect"/>
                  </pic:spPr>
                </pic:pic>
              </a:graphicData>
            </a:graphic>
          </wp:inline>
        </w:drawing>
      </w:r>
    </w:p>
    <w:p>
      <w:pPr>
        <w:spacing w:before="40" w:after="160"/>
        <w:jc w:val="center"/>
      </w:pPr>
      <w:r>
        <w:rPr>
          <w:i/>
          <w:sz w:val="19"/>
        </w:rPr>
        <w:t>Figure 4.7: Pose and segmentation model flow</w:t>
      </w:r>
    </w:p>
    <w:p>
      <w:pPr>
        <w:pStyle w:val="Heading3"/>
      </w:pPr>
      <w:r>
        <w:t>4.3.5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4.5: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4.3.6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4.6: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4.7: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detail screens return expected exercise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handle populated and empty states.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Permissions and reminders behave correctly on device.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device test required</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Nutrition/progress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Entries persist and appear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4.8: Sprint test cases</w:t>
      </w:r>
    </w:p>
    <w:p>
      <w:pPr>
        <w:pStyle w:val="Heading2"/>
      </w:pPr>
      <w:r>
        <w:t>4.5 Sprint Burn Down Chart</w:t>
      </w:r>
    </w:p>
    <w:p>
      <w:pPr>
        <w:jc w:val="center"/>
      </w:pPr>
      <w:r>
        <w:drawing>
          <wp:inline xmlns:a="http://schemas.openxmlformats.org/drawingml/2006/main" xmlns:pic="http://schemas.openxmlformats.org/drawingml/2006/picture">
            <wp:extent cx="5806440" cy="2622909"/>
            <wp:docPr id="17" name="Picture 17"/>
            <wp:cNvGraphicFramePr>
              <a:graphicFrameLocks noChangeAspect="1"/>
            </wp:cNvGraphicFramePr>
            <a:graphic>
              <a:graphicData uri="http://schemas.openxmlformats.org/drawingml/2006/picture">
                <pic:pic>
                  <pic:nvPicPr>
                    <pic:cNvPr id="0" name="figure_4_5_burndown.png"/>
                    <pic:cNvPicPr/>
                  </pic:nvPicPr>
                  <pic:blipFill>
                    <a:blip r:embed="rId25"/>
                    <a:stretch>
                      <a:fillRect/>
                    </a:stretch>
                  </pic:blipFill>
                  <pic:spPr>
                    <a:xfrm>
                      <a:off x="0" y="0"/>
                      <a:ext cx="5806440" cy="2622909"/>
                    </a:xfrm>
                    <a:prstGeom prst="rect"/>
                  </pic:spPr>
                </pic:pic>
              </a:graphicData>
            </a:graphic>
          </wp:inline>
        </w:drawing>
      </w:r>
    </w:p>
    <w:p>
      <w:pPr>
        <w:spacing w:before="40" w:after="160"/>
        <w:jc w:val="center"/>
      </w:pPr>
      <w:r>
        <w:rPr>
          <w:i/>
          <w:sz w:val="19"/>
        </w:rPr>
        <w:t>Figure 4.8: Burn down chart for Sprint 2</w:t>
      </w:r>
    </w:p>
    <w:p>
      <w:pPr>
        <w:pStyle w:val="Heading2"/>
      </w:pPr>
      <w:r>
        <w:t>Conclusion</w:t>
      </w:r>
    </w:p>
    <w:p>
      <w:pPr>
        <w:spacing w:after="120" w:line="269" w:lineRule="auto"/>
      </w:pPr>
      <w:r>
        <w:t>Sprint 2 delivered a coherent increment of the GoFit platform and prepared the dependencies required by the following sprint.</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pStyle w:val="Heading2"/>
      </w:pPr>
      <w:r>
        <w:t>5.1 Needs Assessment</w:t>
      </w:r>
    </w:p>
    <w:p>
      <w:pPr>
        <w:spacing w:after="120" w:line="269" w:lineRule="auto"/>
      </w:pPr>
      <w:r>
        <w:t>The sprint needs were selected from the product backlog according to dependency order, user value, and technical feasibility.</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8" name="Picture 18"/>
            <wp:cNvGraphicFramePr>
              <a:graphicFrameLocks noChangeAspect="1"/>
            </wp:cNvGraphicFramePr>
            <a:graphic>
              <a:graphicData uri="http://schemas.openxmlformats.org/drawingml/2006/picture">
                <pic:pic>
                  <pic:nvPicPr>
                    <pic:cNvPr id="0" name="figure_5_1_class.png"/>
                    <pic:cNvPicPr/>
                  </pic:nvPicPr>
                  <pic:blipFill>
                    <a:blip r:embed="rId26"/>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19" name="Picture 19"/>
            <wp:cNvGraphicFramePr>
              <a:graphicFrameLocks noChangeAspect="1"/>
            </wp:cNvGraphicFramePr>
            <a:graphic>
              <a:graphicData uri="http://schemas.openxmlformats.org/drawingml/2006/picture">
                <pic:pic>
                  <pic:nvPicPr>
                    <pic:cNvPr id="0" name="figure_5_2_usecase.png"/>
                    <pic:cNvPicPr/>
                  </pic:nvPicPr>
                  <pic:blipFill>
                    <a:blip r:embed="rId27"/>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 coach profile is available, and a session slot or pack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marketplace, selects a coach, chooses a slot or pack, confirms booking, and receives confirmation.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slot is unavailable, payment/session pack is missing, or the booking is cancelled.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booking is stored and visible to both client and coach.</w:t>
            </w:r>
          </w:p>
        </w:tc>
      </w:tr>
    </w:tbl>
    <w:p>
      <w:pPr>
        <w:spacing w:before="40" w:after="160"/>
        <w:jc w:val="center"/>
      </w:pPr>
      <w:r>
        <w:rPr>
          <w:i/>
          <w:sz w:val="19"/>
        </w:rPr>
        <w:t>Table 5.2: Use case textual description</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20" name="Picture 20"/>
            <wp:cNvGraphicFramePr>
              <a:graphicFrameLocks noChangeAspect="1"/>
            </wp:cNvGraphicFramePr>
            <a:graphic>
              <a:graphicData uri="http://schemas.openxmlformats.org/drawingml/2006/picture">
                <pic:pic>
                  <pic:nvPicPr>
                    <pic:cNvPr id="0" name="figure_5_3_sequence.png"/>
                    <pic:cNvPicPr/>
                  </pic:nvPicPr>
                  <pic:blipFill>
                    <a:blip r:embed="rId28"/>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jc w:val="center"/>
      </w:pPr>
      <w:r>
        <w:drawing>
          <wp:inline xmlns:a="http://schemas.openxmlformats.org/drawingml/2006/main" xmlns:pic="http://schemas.openxmlformats.org/drawingml/2006/picture">
            <wp:extent cx="5806440" cy="2622909"/>
            <wp:docPr id="21" name="Picture 21"/>
            <wp:cNvGraphicFramePr>
              <a:graphicFrameLocks noChangeAspect="1"/>
            </wp:cNvGraphicFramePr>
            <a:graphic>
              <a:graphicData uri="http://schemas.openxmlformats.org/drawingml/2006/picture">
                <pic:pic>
                  <pic:nvPicPr>
                    <pic:cNvPr id="0" name="figure_5_4_realisation_summary.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2"/>
      </w:pPr>
      <w:r>
        <w:t>5.4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data and documents can be submitted and reviewed.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can browse coaches and navigate to booking/detail flows.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Chat/bookings/packs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and booking records persist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pages load data and restrict non-admin users.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5.3: Sprint test cases</w:t>
      </w:r>
    </w:p>
    <w:p>
      <w:pPr>
        <w:pStyle w:val="Heading2"/>
      </w:pPr>
      <w:r>
        <w:t>5.5 Sprint Burn Down Chart</w:t>
      </w:r>
    </w:p>
    <w:p>
      <w:pPr>
        <w:jc w:val="center"/>
      </w:pPr>
      <w:r>
        <w:drawing>
          <wp:inline xmlns:a="http://schemas.openxmlformats.org/drawingml/2006/main" xmlns:pic="http://schemas.openxmlformats.org/drawingml/2006/picture">
            <wp:extent cx="5806440" cy="2622909"/>
            <wp:docPr id="22" name="Picture 22"/>
            <wp:cNvGraphicFramePr>
              <a:graphicFrameLocks noChangeAspect="1"/>
            </wp:cNvGraphicFramePr>
            <a:graphic>
              <a:graphicData uri="http://schemas.openxmlformats.org/drawingml/2006/picture">
                <pic:pic>
                  <pic:nvPicPr>
                    <pic:cNvPr id="0" name="figure_5_5_burndown.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5.5: Burn down chart for Sprint 3</w:t>
      </w:r>
    </w:p>
    <w:p>
      <w:pPr>
        <w:pStyle w:val="Heading2"/>
      </w:pPr>
      <w:r>
        <w:t>Conclusion</w:t>
      </w:r>
    </w:p>
    <w:p>
      <w:pPr>
        <w:spacing w:after="120" w:line="269" w:lineRule="auto"/>
      </w:pPr>
      <w:r>
        <w:t>Sprint 3 delivered a coherent increment of the GoFit platform and prepared the dependencies required by the following sprint.</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3" name="Picture 23"/>
            <wp:cNvGraphicFramePr>
              <a:graphicFrameLocks noChangeAspect="1"/>
            </wp:cNvGraphicFramePr>
            <a:graphic>
              <a:graphicData uri="http://schemas.openxmlformats.org/drawingml/2006/picture">
                <pic:pic>
                  <pic:nvPicPr>
                    <pic:cNvPr id="0" name="figure_6_1_physical_architecture.png"/>
                    <pic:cNvPicPr/>
                  </pic:nvPicPr>
                  <pic:blipFill>
                    <a:blip r:embed="rId31"/>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4" name="Picture 24"/>
            <wp:cNvGraphicFramePr>
              <a:graphicFrameLocks noChangeAspect="1"/>
            </wp:cNvGraphicFramePr>
            <a:graphic>
              <a:graphicData uri="http://schemas.openxmlformats.org/drawingml/2006/picture">
                <pic:pic>
                  <pic:nvPicPr>
                    <pic:cNvPr id="0" name="figure_6_2_logical_architecture.png"/>
                    <pic:cNvPicPr/>
                  </pic:nvPicPr>
                  <pic:blipFill>
                    <a:blip r:embed="rId32"/>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5" name="Picture 25"/>
            <wp:cNvGraphicFramePr>
              <a:graphicFrameLocks noChangeAspect="1"/>
            </wp:cNvGraphicFramePr>
            <a:graphic>
              <a:graphicData uri="http://schemas.openxmlformats.org/drawingml/2006/picture">
                <pic:pic>
                  <pic:nvPicPr>
                    <pic:cNvPr id="0" name="figure_6_3_deployment.png"/>
                    <pic:cNvPicPr/>
                  </pic:nvPicPr>
                  <pic:blipFill>
                    <a:blip r:embed="rId33"/>
                    <a:stretch>
                      <a:fillRect/>
                    </a:stretch>
                  </pic:blipFill>
                  <pic:spPr>
                    <a:xfrm>
                      <a:off x="0" y="0"/>
                      <a:ext cx="5806440" cy="3283642"/>
                    </a:xfrm>
                    <a:prstGeom prst="rect"/>
                  </pic:spPr>
                </pic:pic>
              </a:graphicData>
            </a:graphic>
          </wp:inline>
        </w:drawing>
      </w:r>
    </w:p>
    <w:p>
      <w:pPr>
        <w:spacing w:before="40" w:after="160"/>
        <w:jc w:val="center"/>
      </w:pPr>
      <w:r>
        <w:rPr>
          <w:i/>
          <w:sz w:val="19"/>
        </w:rPr>
        <w:t>Figure 6.3: Deployment diagram</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type</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functional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 progress, coach, and admin flows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on real devices and browser before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validation</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Migrations, RLS, foreign keys, service queries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Supabase SQL editor and app flows.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routes and CRUD/API behavior</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admin role and service-role boundaries.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checks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 hosting, Supabase env variables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bl>
    <w:p>
      <w:pPr>
        <w:spacing w:before="40" w:after="160"/>
        <w:jc w:val="center"/>
      </w:pPr>
      <w:r>
        <w:rPr>
          <w:i/>
          <w:sz w:val="19"/>
        </w:rPr>
        <w:t>Table 6.3: Final test results</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The project also provided important technical learning: multi-platform architecture, database normalization, row-level security, service-layer design, state management, mobile UX, admin-panel security, and Agile organization. Remaining work before final production release includes final device testing, complete store builds, payment/video production hardening if required, final screenshots, monitoring, and institutional formatting.</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bl>
    <w:p>
      <w:pPr>
        <w:spacing w:before="40" w:after="160"/>
        <w:jc w:val="center"/>
      </w:pPr>
      <w:r>
        <w:rPr>
          <w:i/>
          <w:sz w:val="19"/>
        </w:rPr>
        <w:t>Table B.1: Bibliography</w:t>
      </w:r>
    </w:p>
    <w:p>
      <w:pPr>
        <w:pStyle w:val="Heading1"/>
      </w:pPr>
      <w:r>
        <w:t>Appendices</w:t>
      </w:r>
    </w:p>
    <w:p>
      <w:pPr>
        <w:spacing w:after="120" w:line="269" w:lineRule="auto"/>
      </w:pPr>
      <w:r>
        <w:t>Appendix A should include exported UML diagrams, architecture diagrams, Gantt chart, burn down charts, and selected application screenshots. Appendix B may include SQL migration excerpts, test evidence, and deployment checklists.</w:t>
      </w:r>
    </w:p>
    <w:sectPr w:rsidR="00FC693F" w:rsidRPr="0006063C" w:rsidSect="00034616">
      <w:footerReference w:type="default" r:id="rId34"/>
      <w:headerReference w:type="default" r:id="rId35"/>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