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7E4EC" w14:textId="77777777" w:rsidR="00B10791" w:rsidRDefault="00000000">
      <w:pPr>
        <w:spacing w:before="1800" w:after="100"/>
        <w:jc w:val="center"/>
      </w:pPr>
      <w:r>
        <w:rPr>
          <w:b/>
          <w:bCs/>
          <w:color w:val="1F4E79"/>
          <w:sz w:val="48"/>
          <w:szCs w:val="48"/>
        </w:rPr>
        <w:t>Documentation Technique</w:t>
      </w:r>
    </w:p>
    <w:p w14:paraId="00B5F7A6" w14:textId="77777777" w:rsidR="00B10791" w:rsidRDefault="00000000">
      <w:pPr>
        <w:spacing w:after="100"/>
        <w:jc w:val="center"/>
      </w:pPr>
      <w:r>
        <w:rPr>
          <w:color w:val="0B5C55"/>
          <w:sz w:val="30"/>
          <w:szCs w:val="30"/>
        </w:rPr>
        <w:t>Architecture ISP — MPLS L3VPN</w:t>
      </w:r>
    </w:p>
    <w:p w14:paraId="5FEA45F8" w14:textId="77777777" w:rsidR="00B10791" w:rsidRDefault="00000000">
      <w:pPr>
        <w:spacing w:after="600"/>
        <w:jc w:val="center"/>
      </w:pPr>
      <w:r>
        <w:rPr>
          <w:i/>
          <w:iCs/>
          <w:color w:val="595959"/>
          <w:sz w:val="24"/>
          <w:szCs w:val="24"/>
        </w:rPr>
        <w:t>Partie Théorique — Fondements du routage et de MPLS</w:t>
      </w:r>
    </w:p>
    <w:p w14:paraId="68CED8A8" w14:textId="4BAF9FFE" w:rsidR="00B10791" w:rsidRDefault="00A77B12">
      <w:pPr>
        <w:pStyle w:val="Titre1"/>
        <w:pBdr>
          <w:bottom w:val="single" w:sz="6" w:space="4" w:color="1F4E79"/>
        </w:pBdr>
        <w:spacing w:before="360" w:after="200"/>
      </w:pPr>
      <w:r>
        <w:rPr>
          <w:b/>
          <w:bCs/>
          <w:color w:val="1F4E79"/>
        </w:rPr>
        <w:t>1</w:t>
      </w:r>
      <w:r w:rsidR="00000000">
        <w:rPr>
          <w:b/>
          <w:bCs/>
          <w:color w:val="1F4E79"/>
        </w:rPr>
        <w:t>. Classification des protocoles de routage : IGP vs EGP</w:t>
      </w:r>
    </w:p>
    <w:p w14:paraId="625A9A24" w14:textId="77777777" w:rsidR="00B10791" w:rsidRDefault="00000000">
      <w:pPr>
        <w:spacing w:after="160" w:line="276" w:lineRule="auto"/>
      </w:pPr>
      <w:r>
        <w:t>Les protocoles de routage dynamique se répartissent en deux grandes catégories selon le périmètre sur lequel ils opèrent : à l'intérieur d'un même système autonome, ou entre systèmes autonomes différents.</w:t>
      </w:r>
    </w:p>
    <w:p w14:paraId="48D8539C" w14:textId="77777777" w:rsidR="00B10791" w:rsidRDefault="00000000">
      <w:pPr>
        <w:pStyle w:val="Titre2"/>
        <w:spacing w:before="280" w:after="140"/>
      </w:pPr>
      <w:r>
        <w:rPr>
          <w:b/>
          <w:bCs/>
          <w:color w:val="0B5C55"/>
        </w:rPr>
        <w:t>2.1 Système autonome (AS)</w:t>
      </w:r>
    </w:p>
    <w:p w14:paraId="2E0C5D2B" w14:textId="77777777" w:rsidR="00B10791" w:rsidRDefault="00000000">
      <w:pPr>
        <w:spacing w:after="160" w:line="276" w:lineRule="auto"/>
      </w:pPr>
      <w:r>
        <w:t>Un système autonome (</w:t>
      </w:r>
      <w:proofErr w:type="spellStart"/>
      <w:r>
        <w:t>Autonomous</w:t>
      </w:r>
      <w:proofErr w:type="spellEnd"/>
      <w:r>
        <w:t xml:space="preserve"> System, AS) est un ensemble de réseaux IP placés sous une administration technique unique, partageant une politique de routage commune, et identifié par un numéro d'AS (ASN). Dans ce </w:t>
      </w:r>
      <w:proofErr w:type="spellStart"/>
      <w:r>
        <w:t>lab</w:t>
      </w:r>
      <w:proofErr w:type="spellEnd"/>
      <w:r>
        <w:t>, l'ensemble du cœur ISP appartient à l'AS 65000.</w:t>
      </w:r>
    </w:p>
    <w:p w14:paraId="2B5EF7C4" w14:textId="77777777" w:rsidR="00B10791" w:rsidRDefault="00000000">
      <w:pPr>
        <w:pStyle w:val="Titre2"/>
        <w:spacing w:before="280" w:after="140"/>
      </w:pPr>
      <w:r>
        <w:rPr>
          <w:b/>
          <w:bCs/>
          <w:color w:val="0B5C55"/>
        </w:rPr>
        <w:t xml:space="preserve">2.2 IGP — </w:t>
      </w:r>
      <w:proofErr w:type="spellStart"/>
      <w:r>
        <w:rPr>
          <w:b/>
          <w:bCs/>
          <w:color w:val="0B5C55"/>
        </w:rPr>
        <w:t>Interior</w:t>
      </w:r>
      <w:proofErr w:type="spellEnd"/>
      <w:r>
        <w:rPr>
          <w:b/>
          <w:bCs/>
          <w:color w:val="0B5C55"/>
        </w:rPr>
        <w:t xml:space="preserve"> Gateway Protocol</w:t>
      </w:r>
    </w:p>
    <w:p w14:paraId="7553D611" w14:textId="77777777" w:rsidR="00B10791" w:rsidRDefault="00000000">
      <w:pPr>
        <w:spacing w:after="160" w:line="276" w:lineRule="auto"/>
      </w:pPr>
      <w:r>
        <w:t>Un IGP est un protocole de routage utilisé à l'intérieur d'un même système autonome. Son objectif est d'assurer la joignabilité de tous les routeurs internes avec une convergence rapide et une configuration relativement simple, sans nécessiter de politique de routage complexe.</w:t>
      </w:r>
    </w:p>
    <w:p w14:paraId="2C484F66" w14:textId="77777777" w:rsidR="00B10791" w:rsidRPr="00A77B12" w:rsidRDefault="00000000">
      <w:pPr>
        <w:pStyle w:val="Paragraphedeliste"/>
        <w:numPr>
          <w:ilvl w:val="0"/>
          <w:numId w:val="1"/>
        </w:numPr>
        <w:spacing w:after="80"/>
        <w:rPr>
          <w:lang w:val="en-US"/>
        </w:rPr>
      </w:pPr>
      <w:proofErr w:type="spellStart"/>
      <w:proofErr w:type="gramStart"/>
      <w:r w:rsidRPr="00A77B12">
        <w:rPr>
          <w:lang w:val="en-US"/>
        </w:rPr>
        <w:t>Exemples</w:t>
      </w:r>
      <w:proofErr w:type="spellEnd"/>
      <w:r w:rsidRPr="00A77B12">
        <w:rPr>
          <w:lang w:val="en-US"/>
        </w:rPr>
        <w:t xml:space="preserve"> :</w:t>
      </w:r>
      <w:proofErr w:type="gramEnd"/>
      <w:r w:rsidRPr="00A77B12">
        <w:rPr>
          <w:lang w:val="en-US"/>
        </w:rPr>
        <w:t xml:space="preserve"> RIP, EIGRP, OSPF, IS-IS.</w:t>
      </w:r>
    </w:p>
    <w:p w14:paraId="6D1AD465" w14:textId="77777777" w:rsidR="00B10791" w:rsidRDefault="00000000">
      <w:pPr>
        <w:pStyle w:val="Paragraphedeliste"/>
        <w:numPr>
          <w:ilvl w:val="0"/>
          <w:numId w:val="1"/>
        </w:numPr>
        <w:spacing w:after="80"/>
      </w:pPr>
      <w:r>
        <w:t>Métrique : basée sur des critères techniques (coût, bande passante, nombre de sauts).</w:t>
      </w:r>
    </w:p>
    <w:p w14:paraId="39530673" w14:textId="77777777" w:rsidR="00B10791" w:rsidRDefault="00000000">
      <w:pPr>
        <w:pStyle w:val="Paragraphedeliste"/>
        <w:numPr>
          <w:ilvl w:val="0"/>
          <w:numId w:val="1"/>
        </w:numPr>
        <w:spacing w:after="80"/>
      </w:pPr>
      <w:r>
        <w:t xml:space="preserve">Dans ce </w:t>
      </w:r>
      <w:proofErr w:type="spellStart"/>
      <w:r>
        <w:t>lab</w:t>
      </w:r>
      <w:proofErr w:type="spellEnd"/>
      <w:r>
        <w:t xml:space="preserve"> : OSPF est l'IGP utilisé pour distribuer les loopbacks et les liens du cœur (voir section 2 du rapport).</w:t>
      </w:r>
    </w:p>
    <w:p w14:paraId="412B4903" w14:textId="77777777" w:rsidR="00B10791" w:rsidRDefault="00000000">
      <w:pPr>
        <w:pStyle w:val="Titre2"/>
        <w:spacing w:before="280" w:after="140"/>
      </w:pPr>
      <w:r>
        <w:rPr>
          <w:b/>
          <w:bCs/>
          <w:color w:val="0B5C55"/>
        </w:rPr>
        <w:t xml:space="preserve">2.3 EGP — </w:t>
      </w:r>
      <w:proofErr w:type="spellStart"/>
      <w:r>
        <w:rPr>
          <w:b/>
          <w:bCs/>
          <w:color w:val="0B5C55"/>
        </w:rPr>
        <w:t>Exterior</w:t>
      </w:r>
      <w:proofErr w:type="spellEnd"/>
      <w:r>
        <w:rPr>
          <w:b/>
          <w:bCs/>
          <w:color w:val="0B5C55"/>
        </w:rPr>
        <w:t xml:space="preserve"> Gateway Protocol</w:t>
      </w:r>
    </w:p>
    <w:p w14:paraId="06196457" w14:textId="77777777" w:rsidR="00CB43FD" w:rsidRPr="00CB43FD" w:rsidRDefault="00CB43FD" w:rsidP="00CB43FD">
      <w:pPr>
        <w:spacing w:before="200" w:after="100"/>
      </w:pPr>
      <w:proofErr w:type="gramStart"/>
      <w:r w:rsidRPr="00CB43FD">
        <w:t xml:space="preserve">Un </w:t>
      </w:r>
      <w:r w:rsidRPr="00CB43FD">
        <w:rPr>
          <w:b/>
          <w:bCs/>
        </w:rPr>
        <w:t>EGP</w:t>
      </w:r>
      <w:proofErr w:type="gramEnd"/>
      <w:r w:rsidRPr="00CB43FD">
        <w:t xml:space="preserve"> (</w:t>
      </w:r>
      <w:proofErr w:type="spellStart"/>
      <w:r w:rsidRPr="00CB43FD">
        <w:rPr>
          <w:i/>
          <w:iCs/>
        </w:rPr>
        <w:t>Exterior</w:t>
      </w:r>
      <w:proofErr w:type="spellEnd"/>
      <w:r w:rsidRPr="00CB43FD">
        <w:rPr>
          <w:i/>
          <w:iCs/>
        </w:rPr>
        <w:t xml:space="preserve"> Gateway Protocol</w:t>
      </w:r>
      <w:r w:rsidRPr="00CB43FD">
        <w:t xml:space="preserve">) est un protocole qui permet de faire communiquer des réseaux indépendants et gérés par des organisations différentes (appelés </w:t>
      </w:r>
      <w:r w:rsidRPr="00CB43FD">
        <w:rPr>
          <w:b/>
          <w:bCs/>
        </w:rPr>
        <w:t>Systèmes Autonomes</w:t>
      </w:r>
      <w:r w:rsidRPr="00CB43FD">
        <w:t xml:space="preserve"> ou AS). C'est, pour faire simple, le système d'aiguillage qui permet aux grands morceaux d'Internet de se connecter entre eux.</w:t>
      </w:r>
    </w:p>
    <w:p w14:paraId="6C492CA2" w14:textId="77777777" w:rsidR="00CB43FD" w:rsidRPr="00CB43FD" w:rsidRDefault="00CB43FD" w:rsidP="00CB43FD">
      <w:pPr>
        <w:numPr>
          <w:ilvl w:val="0"/>
          <w:numId w:val="2"/>
        </w:numPr>
        <w:spacing w:before="200" w:after="100"/>
      </w:pPr>
      <w:r w:rsidRPr="00CB43FD">
        <w:rPr>
          <w:b/>
          <w:bCs/>
        </w:rPr>
        <w:t>Son rôle :</w:t>
      </w:r>
      <w:r w:rsidRPr="00CB43FD">
        <w:t xml:space="preserve"> Relier des réseaux distincts (contrairement à l'IGP, qui gère l'intérieur d'un seul et même réseau).</w:t>
      </w:r>
    </w:p>
    <w:p w14:paraId="4E42295A" w14:textId="77777777" w:rsidR="00CB43FD" w:rsidRPr="00CB43FD" w:rsidRDefault="00CB43FD" w:rsidP="00CB43FD">
      <w:pPr>
        <w:numPr>
          <w:ilvl w:val="0"/>
          <w:numId w:val="2"/>
        </w:numPr>
        <w:spacing w:before="200" w:after="100"/>
      </w:pPr>
      <w:r w:rsidRPr="00CB43FD">
        <w:rPr>
          <w:b/>
          <w:bCs/>
        </w:rPr>
        <w:t>Le choix de la route :</w:t>
      </w:r>
      <w:r w:rsidRPr="00CB43FD">
        <w:t xml:space="preserve"> Il ne choisit pas le chemin le plus "rapide" techniquement, mais le chemin dicté par des </w:t>
      </w:r>
      <w:r w:rsidRPr="00CB43FD">
        <w:rPr>
          <w:b/>
          <w:bCs/>
        </w:rPr>
        <w:t>politiques et des critères commerciaux</w:t>
      </w:r>
      <w:r w:rsidRPr="00CB43FD">
        <w:t xml:space="preserve"> (accords financiers, sécurité, préférences de l'opérateur).</w:t>
      </w:r>
    </w:p>
    <w:p w14:paraId="5B394E1D" w14:textId="77777777" w:rsidR="00CB43FD" w:rsidRPr="00CB43FD" w:rsidRDefault="00CB43FD" w:rsidP="00CB43FD">
      <w:pPr>
        <w:numPr>
          <w:ilvl w:val="0"/>
          <w:numId w:val="2"/>
        </w:numPr>
        <w:spacing w:before="200" w:after="100"/>
      </w:pPr>
      <w:r w:rsidRPr="00CB43FD">
        <w:rPr>
          <w:b/>
          <w:bCs/>
        </w:rPr>
        <w:lastRenderedPageBreak/>
        <w:t>Le standard actuel :</w:t>
      </w:r>
      <w:r w:rsidRPr="00CB43FD">
        <w:t xml:space="preserve"> Le protocole historique "EGP" est mort. Aujourd'hui, le seul et unique EGP utilisé dans le monde réel sur Internet est le </w:t>
      </w:r>
      <w:r w:rsidRPr="00CB43FD">
        <w:rPr>
          <w:b/>
          <w:bCs/>
        </w:rPr>
        <w:t>BGP</w:t>
      </w:r>
      <w:r w:rsidRPr="00CB43FD">
        <w:t xml:space="preserve"> (</w:t>
      </w:r>
      <w:r w:rsidRPr="00CB43FD">
        <w:rPr>
          <w:i/>
          <w:iCs/>
        </w:rPr>
        <w:t>Border Gateway Protocol</w:t>
      </w:r>
      <w:r w:rsidRPr="00CB43FD">
        <w:t>).</w:t>
      </w:r>
    </w:p>
    <w:p w14:paraId="2CD7A742" w14:textId="77777777" w:rsidR="00B10791" w:rsidRDefault="00000000">
      <w:pPr>
        <w:spacing w:before="200" w:after="100"/>
      </w:pPr>
      <w:r>
        <w:rPr>
          <w:b/>
          <w:bCs/>
          <w:color w:val="333333"/>
          <w:sz w:val="23"/>
          <w:szCs w:val="23"/>
        </w:rPr>
        <w:t>BGP peut aussi fonctionner en mode interne (</w:t>
      </w:r>
      <w:proofErr w:type="spellStart"/>
      <w:r>
        <w:rPr>
          <w:b/>
          <w:bCs/>
          <w:color w:val="333333"/>
          <w:sz w:val="23"/>
          <w:szCs w:val="23"/>
        </w:rPr>
        <w:t>iBGP</w:t>
      </w:r>
      <w:proofErr w:type="spellEnd"/>
      <w:r>
        <w:rPr>
          <w:b/>
          <w:bCs/>
          <w:color w:val="333333"/>
          <w:sz w:val="23"/>
          <w:szCs w:val="23"/>
        </w:rPr>
        <w:t>)</w:t>
      </w:r>
    </w:p>
    <w:p w14:paraId="6838679D" w14:textId="2AC17814" w:rsidR="00B10791" w:rsidRDefault="00000000">
      <w:pPr>
        <w:spacing w:after="160" w:line="276" w:lineRule="auto"/>
      </w:pPr>
      <w:r>
        <w:t xml:space="preserve">BGP est nativement conçu comme </w:t>
      </w:r>
      <w:proofErr w:type="gramStart"/>
      <w:r>
        <w:t>un EGP</w:t>
      </w:r>
      <w:proofErr w:type="gramEnd"/>
      <w:r>
        <w:t>, mais il peut également être utilisé entre routeurs d'un même AS : on parle alors d'</w:t>
      </w:r>
      <w:proofErr w:type="spellStart"/>
      <w:r>
        <w:t>iBGP</w:t>
      </w:r>
      <w:proofErr w:type="spellEnd"/>
      <w:r>
        <w:t xml:space="preserve"> (</w:t>
      </w:r>
      <w:proofErr w:type="spellStart"/>
      <w:r>
        <w:t>internal</w:t>
      </w:r>
      <w:proofErr w:type="spellEnd"/>
      <w:r>
        <w:t xml:space="preserve"> BGP), par opposition à l'</w:t>
      </w:r>
      <w:proofErr w:type="spellStart"/>
      <w:r>
        <w:t>eBGP</w:t>
      </w:r>
      <w:proofErr w:type="spellEnd"/>
      <w:r>
        <w:t xml:space="preserve"> (</w:t>
      </w:r>
      <w:proofErr w:type="spellStart"/>
      <w:r>
        <w:t>external</w:t>
      </w:r>
      <w:proofErr w:type="spellEnd"/>
      <w:r>
        <w:t xml:space="preserve"> BGP) utilisé entre AS différents. C'est précisément ce mode qui est utilisé dans ce </w:t>
      </w:r>
      <w:proofErr w:type="spellStart"/>
      <w:r>
        <w:t>lab</w:t>
      </w:r>
      <w:proofErr w:type="spellEnd"/>
      <w:r>
        <w:t xml:space="preserve"> : PE1 et PE2 appartiennent au même AS (65000) et établissent une session </w:t>
      </w:r>
      <w:proofErr w:type="spellStart"/>
      <w:r>
        <w:t>iBGP</w:t>
      </w:r>
      <w:proofErr w:type="spellEnd"/>
      <w:r>
        <w:t xml:space="preserve"> entre eux, non pas pour interconnecter deux AS, mais pour exploiter les capacités de MP-BGP (transport de routes VPNv4, Route </w:t>
      </w:r>
      <w:proofErr w:type="spellStart"/>
      <w:r>
        <w:t>Distinguisher</w:t>
      </w:r>
      <w:proofErr w:type="spellEnd"/>
      <w:r>
        <w:t>, Route Target). Ce choix illustre bien que la frontière IGP/EGP est une question de portée d'usage, et non une propriété figée du protocole lui-même.</w:t>
      </w:r>
    </w:p>
    <w:tbl>
      <w:tblPr>
        <w:tblW w:w="11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18"/>
        <w:gridCol w:w="3630"/>
        <w:gridCol w:w="5352"/>
      </w:tblGrid>
      <w:tr w:rsidR="00B10791" w14:paraId="1920826D" w14:textId="77777777">
        <w:tblPrEx>
          <w:tblCellMar>
            <w:top w:w="0" w:type="dxa"/>
            <w:bottom w:w="0" w:type="dxa"/>
          </w:tblCellMar>
        </w:tblPrEx>
        <w:trPr>
          <w:tblHeader/>
        </w:trPr>
        <w:tc>
          <w:tcPr>
            <w:tcW w:w="0" w:type="auto"/>
            <w:shd w:val="clear" w:color="auto" w:fill="1F4E79"/>
            <w:tcMar>
              <w:top w:w="100" w:type="dxa"/>
              <w:left w:w="120" w:type="dxa"/>
              <w:bottom w:w="100" w:type="dxa"/>
              <w:right w:w="120" w:type="dxa"/>
            </w:tcMar>
            <w:vAlign w:val="center"/>
          </w:tcPr>
          <w:p w14:paraId="56EBEDAA" w14:textId="77777777" w:rsidR="00B10791" w:rsidRDefault="00000000">
            <w:r>
              <w:rPr>
                <w:b/>
                <w:bCs/>
                <w:color w:val="FFFFFF"/>
                <w:sz w:val="20"/>
                <w:szCs w:val="20"/>
              </w:rPr>
              <w:t>Critère</w:t>
            </w:r>
          </w:p>
        </w:tc>
        <w:tc>
          <w:tcPr>
            <w:tcW w:w="0" w:type="auto"/>
            <w:shd w:val="clear" w:color="auto" w:fill="1F4E79"/>
            <w:tcMar>
              <w:top w:w="100" w:type="dxa"/>
              <w:left w:w="120" w:type="dxa"/>
              <w:bottom w:w="100" w:type="dxa"/>
              <w:right w:w="120" w:type="dxa"/>
            </w:tcMar>
            <w:vAlign w:val="center"/>
          </w:tcPr>
          <w:p w14:paraId="340987B9" w14:textId="77777777" w:rsidR="00B10791" w:rsidRDefault="00000000">
            <w:r>
              <w:rPr>
                <w:b/>
                <w:bCs/>
                <w:color w:val="FFFFFF"/>
                <w:sz w:val="20"/>
                <w:szCs w:val="20"/>
              </w:rPr>
              <w:t>IGP</w:t>
            </w:r>
          </w:p>
        </w:tc>
        <w:tc>
          <w:tcPr>
            <w:tcW w:w="0" w:type="auto"/>
            <w:shd w:val="clear" w:color="auto" w:fill="1F4E79"/>
            <w:tcMar>
              <w:top w:w="100" w:type="dxa"/>
              <w:left w:w="120" w:type="dxa"/>
              <w:bottom w:w="100" w:type="dxa"/>
              <w:right w:w="120" w:type="dxa"/>
            </w:tcMar>
            <w:vAlign w:val="center"/>
          </w:tcPr>
          <w:p w14:paraId="6CA88C6F" w14:textId="77777777" w:rsidR="00B10791" w:rsidRDefault="00000000">
            <w:r>
              <w:rPr>
                <w:b/>
                <w:bCs/>
                <w:color w:val="FFFFFF"/>
                <w:sz w:val="20"/>
                <w:szCs w:val="20"/>
              </w:rPr>
              <w:t>EGP (BGP)</w:t>
            </w:r>
          </w:p>
        </w:tc>
      </w:tr>
      <w:tr w:rsidR="00B10791" w14:paraId="4F1BFB61" w14:textId="77777777">
        <w:tblPrEx>
          <w:tblCellMar>
            <w:top w:w="0" w:type="dxa"/>
            <w:bottom w:w="0" w:type="dxa"/>
          </w:tblCellMar>
        </w:tblPrEx>
        <w:tc>
          <w:tcPr>
            <w:tcW w:w="0" w:type="auto"/>
            <w:shd w:val="clear" w:color="auto" w:fill="F2F6FA"/>
            <w:tcMar>
              <w:top w:w="100" w:type="dxa"/>
              <w:left w:w="120" w:type="dxa"/>
              <w:bottom w:w="100" w:type="dxa"/>
              <w:right w:w="120" w:type="dxa"/>
            </w:tcMar>
            <w:vAlign w:val="center"/>
          </w:tcPr>
          <w:p w14:paraId="0F384C11" w14:textId="77777777" w:rsidR="00B10791" w:rsidRDefault="00000000">
            <w:r>
              <w:rPr>
                <w:color w:val="000000"/>
                <w:sz w:val="20"/>
                <w:szCs w:val="20"/>
              </w:rPr>
              <w:t>Portée</w:t>
            </w:r>
          </w:p>
        </w:tc>
        <w:tc>
          <w:tcPr>
            <w:tcW w:w="0" w:type="auto"/>
            <w:shd w:val="clear" w:color="auto" w:fill="F2F6FA"/>
            <w:tcMar>
              <w:top w:w="100" w:type="dxa"/>
              <w:left w:w="120" w:type="dxa"/>
              <w:bottom w:w="100" w:type="dxa"/>
              <w:right w:w="120" w:type="dxa"/>
            </w:tcMar>
            <w:vAlign w:val="center"/>
          </w:tcPr>
          <w:p w14:paraId="7DCAF20D" w14:textId="77777777" w:rsidR="00B10791" w:rsidRDefault="00000000">
            <w:r>
              <w:rPr>
                <w:color w:val="000000"/>
                <w:sz w:val="20"/>
                <w:szCs w:val="20"/>
              </w:rPr>
              <w:t>Intérieur d'un AS</w:t>
            </w:r>
          </w:p>
        </w:tc>
        <w:tc>
          <w:tcPr>
            <w:tcW w:w="0" w:type="auto"/>
            <w:shd w:val="clear" w:color="auto" w:fill="F2F6FA"/>
            <w:tcMar>
              <w:top w:w="100" w:type="dxa"/>
              <w:left w:w="120" w:type="dxa"/>
              <w:bottom w:w="100" w:type="dxa"/>
              <w:right w:w="120" w:type="dxa"/>
            </w:tcMar>
            <w:vAlign w:val="center"/>
          </w:tcPr>
          <w:p w14:paraId="6DB4E0AB" w14:textId="77777777" w:rsidR="00B10791" w:rsidRDefault="00000000">
            <w:r>
              <w:rPr>
                <w:color w:val="000000"/>
                <w:sz w:val="20"/>
                <w:szCs w:val="20"/>
              </w:rPr>
              <w:t xml:space="preserve">Entre AS (ou intra-AS en </w:t>
            </w:r>
            <w:proofErr w:type="spellStart"/>
            <w:r>
              <w:rPr>
                <w:color w:val="000000"/>
                <w:sz w:val="20"/>
                <w:szCs w:val="20"/>
              </w:rPr>
              <w:t>iBGP</w:t>
            </w:r>
            <w:proofErr w:type="spellEnd"/>
            <w:r>
              <w:rPr>
                <w:color w:val="000000"/>
                <w:sz w:val="20"/>
                <w:szCs w:val="20"/>
              </w:rPr>
              <w:t>)</w:t>
            </w:r>
          </w:p>
        </w:tc>
      </w:tr>
      <w:tr w:rsidR="00B10791" w14:paraId="4406C14F"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7F878A6E" w14:textId="77777777" w:rsidR="00B10791" w:rsidRDefault="00000000">
            <w:r>
              <w:rPr>
                <w:color w:val="000000"/>
                <w:sz w:val="20"/>
                <w:szCs w:val="20"/>
              </w:rPr>
              <w:t>Objectif</w:t>
            </w:r>
          </w:p>
        </w:tc>
        <w:tc>
          <w:tcPr>
            <w:tcW w:w="0" w:type="auto"/>
            <w:shd w:val="clear" w:color="auto" w:fill="FFFFFF"/>
            <w:tcMar>
              <w:top w:w="100" w:type="dxa"/>
              <w:left w:w="120" w:type="dxa"/>
              <w:bottom w:w="100" w:type="dxa"/>
              <w:right w:w="120" w:type="dxa"/>
            </w:tcMar>
            <w:vAlign w:val="center"/>
          </w:tcPr>
          <w:p w14:paraId="0DD6A822" w14:textId="77777777" w:rsidR="00B10791" w:rsidRDefault="00000000">
            <w:r>
              <w:rPr>
                <w:color w:val="000000"/>
                <w:sz w:val="20"/>
                <w:szCs w:val="20"/>
              </w:rPr>
              <w:t>Joignabilité rapide et automatique</w:t>
            </w:r>
          </w:p>
        </w:tc>
        <w:tc>
          <w:tcPr>
            <w:tcW w:w="0" w:type="auto"/>
            <w:shd w:val="clear" w:color="auto" w:fill="FFFFFF"/>
            <w:tcMar>
              <w:top w:w="100" w:type="dxa"/>
              <w:left w:w="120" w:type="dxa"/>
              <w:bottom w:w="100" w:type="dxa"/>
              <w:right w:w="120" w:type="dxa"/>
            </w:tcMar>
            <w:vAlign w:val="center"/>
          </w:tcPr>
          <w:p w14:paraId="7EFCD1BA" w14:textId="77777777" w:rsidR="00B10791" w:rsidRDefault="00000000">
            <w:r>
              <w:rPr>
                <w:color w:val="000000"/>
                <w:sz w:val="20"/>
                <w:szCs w:val="20"/>
              </w:rPr>
              <w:t>Politique de routage et scalabilité</w:t>
            </w:r>
          </w:p>
        </w:tc>
      </w:tr>
      <w:tr w:rsidR="00B10791" w14:paraId="00AD6EE5" w14:textId="77777777">
        <w:tblPrEx>
          <w:tblCellMar>
            <w:top w:w="0" w:type="dxa"/>
            <w:bottom w:w="0" w:type="dxa"/>
          </w:tblCellMar>
        </w:tblPrEx>
        <w:tc>
          <w:tcPr>
            <w:tcW w:w="0" w:type="auto"/>
            <w:shd w:val="clear" w:color="auto" w:fill="F2F6FA"/>
            <w:tcMar>
              <w:top w:w="100" w:type="dxa"/>
              <w:left w:w="120" w:type="dxa"/>
              <w:bottom w:w="100" w:type="dxa"/>
              <w:right w:w="120" w:type="dxa"/>
            </w:tcMar>
            <w:vAlign w:val="center"/>
          </w:tcPr>
          <w:p w14:paraId="6058924C" w14:textId="77777777" w:rsidR="00B10791" w:rsidRDefault="00000000">
            <w:r>
              <w:rPr>
                <w:color w:val="000000"/>
                <w:sz w:val="20"/>
                <w:szCs w:val="20"/>
              </w:rPr>
              <w:t>Exemples</w:t>
            </w:r>
          </w:p>
        </w:tc>
        <w:tc>
          <w:tcPr>
            <w:tcW w:w="0" w:type="auto"/>
            <w:shd w:val="clear" w:color="auto" w:fill="F2F6FA"/>
            <w:tcMar>
              <w:top w:w="100" w:type="dxa"/>
              <w:left w:w="120" w:type="dxa"/>
              <w:bottom w:w="100" w:type="dxa"/>
              <w:right w:w="120" w:type="dxa"/>
            </w:tcMar>
            <w:vAlign w:val="center"/>
          </w:tcPr>
          <w:p w14:paraId="40F14E7E" w14:textId="77777777" w:rsidR="00B10791" w:rsidRPr="00A77B12" w:rsidRDefault="00000000">
            <w:pPr>
              <w:rPr>
                <w:lang w:val="en-US"/>
              </w:rPr>
            </w:pPr>
            <w:r w:rsidRPr="00A77B12">
              <w:rPr>
                <w:color w:val="000000"/>
                <w:sz w:val="20"/>
                <w:szCs w:val="20"/>
                <w:lang w:val="en-US"/>
              </w:rPr>
              <w:t>RIP, EIGRP, OSPF, IS-IS</w:t>
            </w:r>
          </w:p>
        </w:tc>
        <w:tc>
          <w:tcPr>
            <w:tcW w:w="0" w:type="auto"/>
            <w:shd w:val="clear" w:color="auto" w:fill="F2F6FA"/>
            <w:tcMar>
              <w:top w:w="100" w:type="dxa"/>
              <w:left w:w="120" w:type="dxa"/>
              <w:bottom w:w="100" w:type="dxa"/>
              <w:right w:w="120" w:type="dxa"/>
            </w:tcMar>
            <w:vAlign w:val="center"/>
          </w:tcPr>
          <w:p w14:paraId="045D0C4C" w14:textId="77777777" w:rsidR="00B10791" w:rsidRDefault="00000000">
            <w:r>
              <w:rPr>
                <w:color w:val="000000"/>
                <w:sz w:val="20"/>
                <w:szCs w:val="20"/>
              </w:rPr>
              <w:t>BGP (</w:t>
            </w:r>
            <w:proofErr w:type="spellStart"/>
            <w:r>
              <w:rPr>
                <w:color w:val="000000"/>
                <w:sz w:val="20"/>
                <w:szCs w:val="20"/>
              </w:rPr>
              <w:t>eBGP</w:t>
            </w:r>
            <w:proofErr w:type="spellEnd"/>
            <w:r>
              <w:rPr>
                <w:color w:val="000000"/>
                <w:sz w:val="20"/>
                <w:szCs w:val="20"/>
              </w:rPr>
              <w:t xml:space="preserve"> / </w:t>
            </w:r>
            <w:proofErr w:type="spellStart"/>
            <w:r>
              <w:rPr>
                <w:color w:val="000000"/>
                <w:sz w:val="20"/>
                <w:szCs w:val="20"/>
              </w:rPr>
              <w:t>iBGP</w:t>
            </w:r>
            <w:proofErr w:type="spellEnd"/>
            <w:r>
              <w:rPr>
                <w:color w:val="000000"/>
                <w:sz w:val="20"/>
                <w:szCs w:val="20"/>
              </w:rPr>
              <w:t>)</w:t>
            </w:r>
          </w:p>
        </w:tc>
      </w:tr>
      <w:tr w:rsidR="00B10791" w14:paraId="03873D26"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1883EBE9" w14:textId="77777777" w:rsidR="00B10791" w:rsidRDefault="00000000">
            <w:r>
              <w:rPr>
                <w:color w:val="000000"/>
                <w:sz w:val="20"/>
                <w:szCs w:val="20"/>
              </w:rPr>
              <w:t xml:space="preserve">Usage dans ce </w:t>
            </w:r>
            <w:proofErr w:type="spellStart"/>
            <w:r>
              <w:rPr>
                <w:color w:val="000000"/>
                <w:sz w:val="20"/>
                <w:szCs w:val="20"/>
              </w:rPr>
              <w:t>lab</w:t>
            </w:r>
            <w:proofErr w:type="spellEnd"/>
          </w:p>
        </w:tc>
        <w:tc>
          <w:tcPr>
            <w:tcW w:w="0" w:type="auto"/>
            <w:shd w:val="clear" w:color="auto" w:fill="FFFFFF"/>
            <w:tcMar>
              <w:top w:w="100" w:type="dxa"/>
              <w:left w:w="120" w:type="dxa"/>
              <w:bottom w:w="100" w:type="dxa"/>
              <w:right w:w="120" w:type="dxa"/>
            </w:tcMar>
            <w:vAlign w:val="center"/>
          </w:tcPr>
          <w:p w14:paraId="17FDFD46" w14:textId="77777777" w:rsidR="00B10791" w:rsidRDefault="00000000">
            <w:r>
              <w:rPr>
                <w:color w:val="000000"/>
                <w:sz w:val="20"/>
                <w:szCs w:val="20"/>
              </w:rPr>
              <w:t>OSPF — cœur ISP</w:t>
            </w:r>
          </w:p>
        </w:tc>
        <w:tc>
          <w:tcPr>
            <w:tcW w:w="0" w:type="auto"/>
            <w:shd w:val="clear" w:color="auto" w:fill="FFFFFF"/>
            <w:tcMar>
              <w:top w:w="100" w:type="dxa"/>
              <w:left w:w="120" w:type="dxa"/>
              <w:bottom w:w="100" w:type="dxa"/>
              <w:right w:w="120" w:type="dxa"/>
            </w:tcMar>
            <w:vAlign w:val="center"/>
          </w:tcPr>
          <w:p w14:paraId="05EA2B2E" w14:textId="77777777" w:rsidR="00B10791" w:rsidRDefault="00000000">
            <w:r>
              <w:rPr>
                <w:color w:val="000000"/>
                <w:sz w:val="20"/>
                <w:szCs w:val="20"/>
              </w:rPr>
              <w:t>MP-BGP (</w:t>
            </w:r>
            <w:proofErr w:type="spellStart"/>
            <w:r>
              <w:rPr>
                <w:color w:val="000000"/>
                <w:sz w:val="20"/>
                <w:szCs w:val="20"/>
              </w:rPr>
              <w:t>iBGP</w:t>
            </w:r>
            <w:proofErr w:type="spellEnd"/>
            <w:r>
              <w:rPr>
                <w:color w:val="000000"/>
                <w:sz w:val="20"/>
                <w:szCs w:val="20"/>
              </w:rPr>
              <w:t>) — transport VPNv4 entre PE1 et PE2</w:t>
            </w:r>
          </w:p>
        </w:tc>
      </w:tr>
    </w:tbl>
    <w:p w14:paraId="764183D3" w14:textId="77777777" w:rsidR="00B10791" w:rsidRDefault="00B10791">
      <w:pPr>
        <w:spacing w:after="120"/>
      </w:pPr>
    </w:p>
    <w:p w14:paraId="4A6B33DE" w14:textId="77777777" w:rsidR="00B10791" w:rsidRDefault="00000000">
      <w:pPr>
        <w:pStyle w:val="Titre1"/>
        <w:pBdr>
          <w:bottom w:val="single" w:sz="6" w:space="4" w:color="1F4E79"/>
        </w:pBdr>
        <w:spacing w:before="360" w:after="200"/>
      </w:pPr>
      <w:r>
        <w:rPr>
          <w:b/>
          <w:bCs/>
          <w:color w:val="1F4E79"/>
        </w:rPr>
        <w:t>3. Algorithmes de routage dynamique : vecteur de distance vs état de lien</w:t>
      </w:r>
    </w:p>
    <w:p w14:paraId="0DB1B7C6" w14:textId="77777777" w:rsidR="00B10791" w:rsidRDefault="00000000">
      <w:pPr>
        <w:spacing w:after="160" w:line="276" w:lineRule="auto"/>
      </w:pPr>
      <w:r>
        <w:t>Les IGP se répartissent eux-mêmes en deux grandes familles algorithmiques, qui déterminent la façon dont chaque routeur construit sa vision du réseau et calcule ses routes.</w:t>
      </w:r>
    </w:p>
    <w:p w14:paraId="75E3DE86" w14:textId="77777777" w:rsidR="00B10791" w:rsidRDefault="00000000">
      <w:pPr>
        <w:pStyle w:val="Titre2"/>
        <w:spacing w:before="280" w:after="140"/>
      </w:pPr>
      <w:r>
        <w:rPr>
          <w:b/>
          <w:bCs/>
          <w:color w:val="0B5C55"/>
        </w:rPr>
        <w:t xml:space="preserve">3.1 Le routage par vecteur de distance (Distance </w:t>
      </w:r>
      <w:proofErr w:type="spellStart"/>
      <w:r>
        <w:rPr>
          <w:b/>
          <w:bCs/>
          <w:color w:val="0B5C55"/>
        </w:rPr>
        <w:t>Vector</w:t>
      </w:r>
      <w:proofErr w:type="spellEnd"/>
      <w:r>
        <w:rPr>
          <w:b/>
          <w:bCs/>
          <w:color w:val="0B5C55"/>
        </w:rPr>
        <w:t>)</w:t>
      </w:r>
    </w:p>
    <w:p w14:paraId="41DCB257" w14:textId="77777777" w:rsidR="00B10791" w:rsidRDefault="00000000">
      <w:pPr>
        <w:spacing w:after="160" w:line="276" w:lineRule="auto"/>
      </w:pPr>
      <w:r>
        <w:t>Un protocole à vecteur de distance fonctionne selon le principe du « routage par la rumeur » : chaque routeur ne connaît que ce que ses voisins directs lui annoncent — une destination et une distance (métrique) pour l'atteindre — sans jamais avoir de vision de la topologie complète du réseau. Périodiquement, chaque routeur envoie sa table de routage entière à ses voisins directement connectés.</w:t>
      </w:r>
    </w:p>
    <w:p w14:paraId="4AB29097" w14:textId="77777777" w:rsidR="00B10791" w:rsidRDefault="00000000">
      <w:pPr>
        <w:spacing w:after="160" w:line="276" w:lineRule="auto"/>
      </w:pPr>
      <w:r>
        <w:t>L'algorithme sous-jacent est l'algorithme de Bellman-Ford, qui calcule le chemin le plus court de proche en proche, par accumulation de distances annoncées.</w:t>
      </w:r>
    </w:p>
    <w:p w14:paraId="3F61DAA8" w14:textId="77777777" w:rsidR="00B10791" w:rsidRDefault="00000000">
      <w:pPr>
        <w:pStyle w:val="Paragraphedeliste"/>
        <w:numPr>
          <w:ilvl w:val="0"/>
          <w:numId w:val="1"/>
        </w:numPr>
        <w:spacing w:after="80"/>
      </w:pPr>
      <w:r>
        <w:rPr>
          <w:b/>
          <w:bCs/>
        </w:rPr>
        <w:t xml:space="preserve">Limites : </w:t>
      </w:r>
      <w:r>
        <w:t>la convergence est lente, et le protocole est sujet au problème du « comptage à l'infini » (count-to-</w:t>
      </w:r>
      <w:proofErr w:type="spellStart"/>
      <w:r>
        <w:t>infinity</w:t>
      </w:r>
      <w:proofErr w:type="spellEnd"/>
      <w:r>
        <w:t>) : en cas de panne d'un lien, une boucle de routage peut se former temporairement, les routeurs continuant à s'annoncer mutuellement une route désormais invalide, ce qui incrémente artificiellement la métrique jusqu'à atteindre une valeur considérée comme infinie.</w:t>
      </w:r>
    </w:p>
    <w:p w14:paraId="280E24CB" w14:textId="77777777" w:rsidR="00B10791" w:rsidRDefault="00000000">
      <w:pPr>
        <w:pStyle w:val="Paragraphedeliste"/>
        <w:numPr>
          <w:ilvl w:val="0"/>
          <w:numId w:val="1"/>
        </w:numPr>
        <w:spacing w:after="80"/>
      </w:pPr>
      <w:r>
        <w:rPr>
          <w:b/>
          <w:bCs/>
        </w:rPr>
        <w:t xml:space="preserve">Correctifs usuels : </w:t>
      </w:r>
      <w:r>
        <w:t xml:space="preserve">split horizon (ne jamais réannoncer une route vers l'interface par laquelle elle a été apprise), poison reverse, et </w:t>
      </w:r>
      <w:proofErr w:type="spellStart"/>
      <w:r>
        <w:t>holddown</w:t>
      </w:r>
      <w:proofErr w:type="spellEnd"/>
      <w:r>
        <w:t xml:space="preserve"> </w:t>
      </w:r>
      <w:proofErr w:type="spellStart"/>
      <w:r>
        <w:t>timers</w:t>
      </w:r>
      <w:proofErr w:type="spellEnd"/>
      <w:r>
        <w:t>.</w:t>
      </w:r>
    </w:p>
    <w:p w14:paraId="41A63758" w14:textId="77777777" w:rsidR="00B10791" w:rsidRDefault="00000000">
      <w:pPr>
        <w:pStyle w:val="Paragraphedeliste"/>
        <w:numPr>
          <w:ilvl w:val="0"/>
          <w:numId w:val="1"/>
        </w:numPr>
        <w:spacing w:after="80"/>
      </w:pPr>
      <w:r>
        <w:t>Exemples : RIP (vecteur de distance pur), EIGRP (vecteur de distance avancé / hybride, utilisant l'algorithme DUAL).</w:t>
      </w:r>
    </w:p>
    <w:p w14:paraId="20A5FC45" w14:textId="77777777" w:rsidR="00B10791" w:rsidRDefault="00000000">
      <w:pPr>
        <w:pStyle w:val="Titre2"/>
        <w:spacing w:before="280" w:after="140"/>
      </w:pPr>
      <w:r>
        <w:rPr>
          <w:b/>
          <w:bCs/>
          <w:color w:val="0B5C55"/>
        </w:rPr>
        <w:t>3.2 Le routage à état de lien (Link-State)</w:t>
      </w:r>
    </w:p>
    <w:p w14:paraId="1ACB999E" w14:textId="77777777" w:rsidR="00B10791" w:rsidRDefault="00000000">
      <w:pPr>
        <w:spacing w:after="160" w:line="276" w:lineRule="auto"/>
      </w:pPr>
      <w:r>
        <w:lastRenderedPageBreak/>
        <w:t xml:space="preserve">Un protocole à état de lien fonctionne à l'opposé : chaque routeur diffuse (flood) l'état de ses propres liens (interfaces actives, coûts associés) à tous les autres routeurs de la zone, via des messages tels que les LSA en OSPF. Chaque routeur reçoit ainsi l'intégralité des annonces de tous les autres routeurs et construit une base de données de topologie identique et complète : la LSDB (Link-State </w:t>
      </w:r>
      <w:proofErr w:type="spellStart"/>
      <w:r>
        <w:t>DataBase</w:t>
      </w:r>
      <w:proofErr w:type="spellEnd"/>
      <w:r>
        <w:t>).</w:t>
      </w:r>
    </w:p>
    <w:p w14:paraId="0FD0FEDE" w14:textId="77777777" w:rsidR="00B10791" w:rsidRDefault="00000000">
      <w:pPr>
        <w:spacing w:after="160" w:line="276" w:lineRule="auto"/>
      </w:pPr>
      <w:r>
        <w:t xml:space="preserve">À partir de cette carte complète du réseau, chaque routeur exécute indépendamment l'algorithme de Dijkstra (SPF — </w:t>
      </w:r>
      <w:proofErr w:type="spellStart"/>
      <w:r>
        <w:t>Shortest</w:t>
      </w:r>
      <w:proofErr w:type="spellEnd"/>
      <w:r>
        <w:t xml:space="preserve"> Path First) en se plaçant comme racine de l'arbre, pour calculer lui-même le chemin le plus court vers chaque destination.</w:t>
      </w:r>
    </w:p>
    <w:p w14:paraId="5FCE5487" w14:textId="77777777" w:rsidR="00B10791" w:rsidRDefault="00000000">
      <w:pPr>
        <w:pStyle w:val="Paragraphedeliste"/>
        <w:numPr>
          <w:ilvl w:val="0"/>
          <w:numId w:val="1"/>
        </w:numPr>
        <w:spacing w:after="80"/>
      </w:pPr>
      <w:r>
        <w:rPr>
          <w:b/>
          <w:bCs/>
        </w:rPr>
        <w:t xml:space="preserve">Avantages : </w:t>
      </w:r>
      <w:r>
        <w:t>convergence rapide, absence structurelle de boucles de routage (chaque routeur calcule sa propre table à partir d'une vue complète et cohérente de la topologie), et bonne adaptation aux réseaux de grande taille avec la notion d'aires (areas).</w:t>
      </w:r>
    </w:p>
    <w:p w14:paraId="098D9CA2" w14:textId="77777777" w:rsidR="00B10791" w:rsidRDefault="00000000">
      <w:pPr>
        <w:pStyle w:val="Paragraphedeliste"/>
        <w:numPr>
          <w:ilvl w:val="0"/>
          <w:numId w:val="1"/>
        </w:numPr>
        <w:spacing w:after="80"/>
      </w:pPr>
      <w:r>
        <w:rPr>
          <w:b/>
          <w:bCs/>
        </w:rPr>
        <w:t xml:space="preserve">Inconvénients : </w:t>
      </w:r>
      <w:r>
        <w:t>consommation de mémoire et de CPU plus importante (stockage de la LSDB complète, calcul SPF), et configuration initiale plus rigoureuse (aires, types de réseaux, router-id).</w:t>
      </w:r>
    </w:p>
    <w:p w14:paraId="18BEA14F" w14:textId="77777777" w:rsidR="00B10791" w:rsidRDefault="00000000">
      <w:pPr>
        <w:pStyle w:val="Paragraphedeliste"/>
        <w:numPr>
          <w:ilvl w:val="0"/>
          <w:numId w:val="1"/>
        </w:numPr>
        <w:spacing w:after="80"/>
      </w:pPr>
      <w:r>
        <w:t>Exemples : OSPF, IS-IS.</w:t>
      </w:r>
    </w:p>
    <w:p w14:paraId="643F1EDA" w14:textId="77777777" w:rsidR="00B10791" w:rsidRDefault="00000000">
      <w:pPr>
        <w:pStyle w:val="Titre2"/>
        <w:spacing w:before="280" w:after="140"/>
      </w:pPr>
      <w:r>
        <w:rPr>
          <w:b/>
          <w:bCs/>
          <w:color w:val="0B5C55"/>
        </w:rPr>
        <w:t>3.3 Tableau comparatif</w:t>
      </w:r>
    </w:p>
    <w:tbl>
      <w:tblPr>
        <w:tblW w:w="102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45"/>
        <w:gridCol w:w="3720"/>
        <w:gridCol w:w="4035"/>
      </w:tblGrid>
      <w:tr w:rsidR="00B10791" w14:paraId="36561E0A" w14:textId="77777777">
        <w:tblPrEx>
          <w:tblCellMar>
            <w:top w:w="0" w:type="dxa"/>
            <w:bottom w:w="0" w:type="dxa"/>
          </w:tblCellMar>
        </w:tblPrEx>
        <w:trPr>
          <w:tblHeader/>
        </w:trPr>
        <w:tc>
          <w:tcPr>
            <w:tcW w:w="0" w:type="auto"/>
            <w:shd w:val="clear" w:color="auto" w:fill="1F4E79"/>
            <w:tcMar>
              <w:top w:w="100" w:type="dxa"/>
              <w:left w:w="120" w:type="dxa"/>
              <w:bottom w:w="100" w:type="dxa"/>
              <w:right w:w="120" w:type="dxa"/>
            </w:tcMar>
            <w:vAlign w:val="center"/>
          </w:tcPr>
          <w:p w14:paraId="648F7227" w14:textId="77777777" w:rsidR="00B10791" w:rsidRDefault="00000000">
            <w:r>
              <w:rPr>
                <w:b/>
                <w:bCs/>
                <w:color w:val="FFFFFF"/>
                <w:sz w:val="20"/>
                <w:szCs w:val="20"/>
              </w:rPr>
              <w:t>Critère</w:t>
            </w:r>
          </w:p>
        </w:tc>
        <w:tc>
          <w:tcPr>
            <w:tcW w:w="0" w:type="auto"/>
            <w:shd w:val="clear" w:color="auto" w:fill="1F4E79"/>
            <w:tcMar>
              <w:top w:w="100" w:type="dxa"/>
              <w:left w:w="120" w:type="dxa"/>
              <w:bottom w:w="100" w:type="dxa"/>
              <w:right w:w="120" w:type="dxa"/>
            </w:tcMar>
            <w:vAlign w:val="center"/>
          </w:tcPr>
          <w:p w14:paraId="6E1B1DA7" w14:textId="77777777" w:rsidR="00B10791" w:rsidRDefault="00000000">
            <w:r>
              <w:rPr>
                <w:b/>
                <w:bCs/>
                <w:color w:val="FFFFFF"/>
                <w:sz w:val="20"/>
                <w:szCs w:val="20"/>
              </w:rPr>
              <w:t>Vecteur de distance</w:t>
            </w:r>
          </w:p>
        </w:tc>
        <w:tc>
          <w:tcPr>
            <w:tcW w:w="0" w:type="auto"/>
            <w:shd w:val="clear" w:color="auto" w:fill="1F4E79"/>
            <w:tcMar>
              <w:top w:w="100" w:type="dxa"/>
              <w:left w:w="120" w:type="dxa"/>
              <w:bottom w:w="100" w:type="dxa"/>
              <w:right w:w="120" w:type="dxa"/>
            </w:tcMar>
            <w:vAlign w:val="center"/>
          </w:tcPr>
          <w:p w14:paraId="214D878E" w14:textId="77777777" w:rsidR="00B10791" w:rsidRDefault="00000000">
            <w:r>
              <w:rPr>
                <w:b/>
                <w:bCs/>
                <w:color w:val="FFFFFF"/>
                <w:sz w:val="20"/>
                <w:szCs w:val="20"/>
              </w:rPr>
              <w:t>État de lien</w:t>
            </w:r>
          </w:p>
        </w:tc>
      </w:tr>
      <w:tr w:rsidR="00B10791" w14:paraId="2C0CE7D7" w14:textId="77777777">
        <w:tblPrEx>
          <w:tblCellMar>
            <w:top w:w="0" w:type="dxa"/>
            <w:bottom w:w="0" w:type="dxa"/>
          </w:tblCellMar>
        </w:tblPrEx>
        <w:tc>
          <w:tcPr>
            <w:tcW w:w="0" w:type="auto"/>
            <w:shd w:val="clear" w:color="auto" w:fill="F2F6FA"/>
            <w:tcMar>
              <w:top w:w="100" w:type="dxa"/>
              <w:left w:w="120" w:type="dxa"/>
              <w:bottom w:w="100" w:type="dxa"/>
              <w:right w:w="120" w:type="dxa"/>
            </w:tcMar>
            <w:vAlign w:val="center"/>
          </w:tcPr>
          <w:p w14:paraId="20CB3C1A" w14:textId="77777777" w:rsidR="00B10791" w:rsidRDefault="00000000">
            <w:r>
              <w:rPr>
                <w:color w:val="000000"/>
                <w:sz w:val="20"/>
                <w:szCs w:val="20"/>
              </w:rPr>
              <w:t>Information échangée</w:t>
            </w:r>
          </w:p>
        </w:tc>
        <w:tc>
          <w:tcPr>
            <w:tcW w:w="0" w:type="auto"/>
            <w:shd w:val="clear" w:color="auto" w:fill="F2F6FA"/>
            <w:tcMar>
              <w:top w:w="100" w:type="dxa"/>
              <w:left w:w="120" w:type="dxa"/>
              <w:bottom w:w="100" w:type="dxa"/>
              <w:right w:w="120" w:type="dxa"/>
            </w:tcMar>
            <w:vAlign w:val="center"/>
          </w:tcPr>
          <w:p w14:paraId="2FCD7C73" w14:textId="77777777" w:rsidR="00B10791" w:rsidRDefault="00000000">
            <w:r>
              <w:rPr>
                <w:color w:val="000000"/>
                <w:sz w:val="20"/>
                <w:szCs w:val="20"/>
              </w:rPr>
              <w:t>Table de routage complète du voisin</w:t>
            </w:r>
          </w:p>
        </w:tc>
        <w:tc>
          <w:tcPr>
            <w:tcW w:w="0" w:type="auto"/>
            <w:shd w:val="clear" w:color="auto" w:fill="F2F6FA"/>
            <w:tcMar>
              <w:top w:w="100" w:type="dxa"/>
              <w:left w:w="120" w:type="dxa"/>
              <w:bottom w:w="100" w:type="dxa"/>
              <w:right w:w="120" w:type="dxa"/>
            </w:tcMar>
            <w:vAlign w:val="center"/>
          </w:tcPr>
          <w:p w14:paraId="792C1ACB" w14:textId="77777777" w:rsidR="00B10791" w:rsidRDefault="00000000">
            <w:r>
              <w:rPr>
                <w:color w:val="000000"/>
                <w:sz w:val="20"/>
                <w:szCs w:val="20"/>
              </w:rPr>
              <w:t>État des liens propres, diffusé à tous</w:t>
            </w:r>
          </w:p>
        </w:tc>
      </w:tr>
      <w:tr w:rsidR="00B10791" w14:paraId="323DA3FF"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0626F3F5" w14:textId="77777777" w:rsidR="00B10791" w:rsidRDefault="00000000">
            <w:r>
              <w:rPr>
                <w:color w:val="000000"/>
                <w:sz w:val="20"/>
                <w:szCs w:val="20"/>
              </w:rPr>
              <w:t>Vision de la topologie</w:t>
            </w:r>
          </w:p>
        </w:tc>
        <w:tc>
          <w:tcPr>
            <w:tcW w:w="0" w:type="auto"/>
            <w:shd w:val="clear" w:color="auto" w:fill="FFFFFF"/>
            <w:tcMar>
              <w:top w:w="100" w:type="dxa"/>
              <w:left w:w="120" w:type="dxa"/>
              <w:bottom w:w="100" w:type="dxa"/>
              <w:right w:w="120" w:type="dxa"/>
            </w:tcMar>
            <w:vAlign w:val="center"/>
          </w:tcPr>
          <w:p w14:paraId="1F69B11B" w14:textId="77777777" w:rsidR="00B10791" w:rsidRDefault="00000000">
            <w:r>
              <w:rPr>
                <w:color w:val="000000"/>
                <w:sz w:val="20"/>
                <w:szCs w:val="20"/>
              </w:rPr>
              <w:t>Partielle (indirecte, via les voisins)</w:t>
            </w:r>
          </w:p>
        </w:tc>
        <w:tc>
          <w:tcPr>
            <w:tcW w:w="0" w:type="auto"/>
            <w:shd w:val="clear" w:color="auto" w:fill="FFFFFF"/>
            <w:tcMar>
              <w:top w:w="100" w:type="dxa"/>
              <w:left w:w="120" w:type="dxa"/>
              <w:bottom w:w="100" w:type="dxa"/>
              <w:right w:w="120" w:type="dxa"/>
            </w:tcMar>
            <w:vAlign w:val="center"/>
          </w:tcPr>
          <w:p w14:paraId="34BC2E01" w14:textId="77777777" w:rsidR="00B10791" w:rsidRDefault="00000000">
            <w:r>
              <w:rPr>
                <w:color w:val="000000"/>
                <w:sz w:val="20"/>
                <w:szCs w:val="20"/>
              </w:rPr>
              <w:t>Complète et identique pour tous (LSDB)</w:t>
            </w:r>
          </w:p>
        </w:tc>
      </w:tr>
      <w:tr w:rsidR="00B10791" w14:paraId="6ED8A37C" w14:textId="77777777">
        <w:tblPrEx>
          <w:tblCellMar>
            <w:top w:w="0" w:type="dxa"/>
            <w:bottom w:w="0" w:type="dxa"/>
          </w:tblCellMar>
        </w:tblPrEx>
        <w:tc>
          <w:tcPr>
            <w:tcW w:w="0" w:type="auto"/>
            <w:shd w:val="clear" w:color="auto" w:fill="F2F6FA"/>
            <w:tcMar>
              <w:top w:w="100" w:type="dxa"/>
              <w:left w:w="120" w:type="dxa"/>
              <w:bottom w:w="100" w:type="dxa"/>
              <w:right w:w="120" w:type="dxa"/>
            </w:tcMar>
            <w:vAlign w:val="center"/>
          </w:tcPr>
          <w:p w14:paraId="01C939FE" w14:textId="77777777" w:rsidR="00B10791" w:rsidRDefault="00000000">
            <w:r>
              <w:rPr>
                <w:color w:val="000000"/>
                <w:sz w:val="20"/>
                <w:szCs w:val="20"/>
              </w:rPr>
              <w:t>Algorithme</w:t>
            </w:r>
          </w:p>
        </w:tc>
        <w:tc>
          <w:tcPr>
            <w:tcW w:w="0" w:type="auto"/>
            <w:shd w:val="clear" w:color="auto" w:fill="F2F6FA"/>
            <w:tcMar>
              <w:top w:w="100" w:type="dxa"/>
              <w:left w:w="120" w:type="dxa"/>
              <w:bottom w:w="100" w:type="dxa"/>
              <w:right w:w="120" w:type="dxa"/>
            </w:tcMar>
            <w:vAlign w:val="center"/>
          </w:tcPr>
          <w:p w14:paraId="1FC27C46" w14:textId="77777777" w:rsidR="00B10791" w:rsidRDefault="00000000">
            <w:r>
              <w:rPr>
                <w:color w:val="000000"/>
                <w:sz w:val="20"/>
                <w:szCs w:val="20"/>
              </w:rPr>
              <w:t>Bellman-Ford</w:t>
            </w:r>
          </w:p>
        </w:tc>
        <w:tc>
          <w:tcPr>
            <w:tcW w:w="0" w:type="auto"/>
            <w:shd w:val="clear" w:color="auto" w:fill="F2F6FA"/>
            <w:tcMar>
              <w:top w:w="100" w:type="dxa"/>
              <w:left w:w="120" w:type="dxa"/>
              <w:bottom w:w="100" w:type="dxa"/>
              <w:right w:w="120" w:type="dxa"/>
            </w:tcMar>
            <w:vAlign w:val="center"/>
          </w:tcPr>
          <w:p w14:paraId="0326495A" w14:textId="77777777" w:rsidR="00B10791" w:rsidRDefault="00000000">
            <w:r>
              <w:rPr>
                <w:color w:val="000000"/>
                <w:sz w:val="20"/>
                <w:szCs w:val="20"/>
              </w:rPr>
              <w:t>Dijkstra (SPF)</w:t>
            </w:r>
          </w:p>
        </w:tc>
      </w:tr>
      <w:tr w:rsidR="00B10791" w14:paraId="3C15C6DD"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0804C92F" w14:textId="77777777" w:rsidR="00B10791" w:rsidRDefault="00000000">
            <w:r>
              <w:rPr>
                <w:color w:val="000000"/>
                <w:sz w:val="20"/>
                <w:szCs w:val="20"/>
              </w:rPr>
              <w:t>Convergence</w:t>
            </w:r>
          </w:p>
        </w:tc>
        <w:tc>
          <w:tcPr>
            <w:tcW w:w="0" w:type="auto"/>
            <w:shd w:val="clear" w:color="auto" w:fill="FFFFFF"/>
            <w:tcMar>
              <w:top w:w="100" w:type="dxa"/>
              <w:left w:w="120" w:type="dxa"/>
              <w:bottom w:w="100" w:type="dxa"/>
              <w:right w:w="120" w:type="dxa"/>
            </w:tcMar>
            <w:vAlign w:val="center"/>
          </w:tcPr>
          <w:p w14:paraId="3AA6C14E" w14:textId="77777777" w:rsidR="00B10791" w:rsidRDefault="00000000">
            <w:r>
              <w:rPr>
                <w:color w:val="000000"/>
                <w:sz w:val="20"/>
                <w:szCs w:val="20"/>
              </w:rPr>
              <w:t>Lente</w:t>
            </w:r>
          </w:p>
        </w:tc>
        <w:tc>
          <w:tcPr>
            <w:tcW w:w="0" w:type="auto"/>
            <w:shd w:val="clear" w:color="auto" w:fill="FFFFFF"/>
            <w:tcMar>
              <w:top w:w="100" w:type="dxa"/>
              <w:left w:w="120" w:type="dxa"/>
              <w:bottom w:w="100" w:type="dxa"/>
              <w:right w:w="120" w:type="dxa"/>
            </w:tcMar>
            <w:vAlign w:val="center"/>
          </w:tcPr>
          <w:p w14:paraId="2A528DC7" w14:textId="77777777" w:rsidR="00B10791" w:rsidRDefault="00000000">
            <w:r>
              <w:rPr>
                <w:color w:val="000000"/>
                <w:sz w:val="20"/>
                <w:szCs w:val="20"/>
              </w:rPr>
              <w:t>Rapide</w:t>
            </w:r>
          </w:p>
        </w:tc>
      </w:tr>
      <w:tr w:rsidR="00B10791" w14:paraId="6CD12C61" w14:textId="77777777">
        <w:tblPrEx>
          <w:tblCellMar>
            <w:top w:w="0" w:type="dxa"/>
            <w:bottom w:w="0" w:type="dxa"/>
          </w:tblCellMar>
        </w:tblPrEx>
        <w:tc>
          <w:tcPr>
            <w:tcW w:w="0" w:type="auto"/>
            <w:shd w:val="clear" w:color="auto" w:fill="F2F6FA"/>
            <w:tcMar>
              <w:top w:w="100" w:type="dxa"/>
              <w:left w:w="120" w:type="dxa"/>
              <w:bottom w:w="100" w:type="dxa"/>
              <w:right w:w="120" w:type="dxa"/>
            </w:tcMar>
            <w:vAlign w:val="center"/>
          </w:tcPr>
          <w:p w14:paraId="2A7ACF46" w14:textId="77777777" w:rsidR="00B10791" w:rsidRDefault="00000000">
            <w:r>
              <w:rPr>
                <w:color w:val="000000"/>
                <w:sz w:val="20"/>
                <w:szCs w:val="20"/>
              </w:rPr>
              <w:t>Risque de boucle</w:t>
            </w:r>
          </w:p>
        </w:tc>
        <w:tc>
          <w:tcPr>
            <w:tcW w:w="0" w:type="auto"/>
            <w:shd w:val="clear" w:color="auto" w:fill="F2F6FA"/>
            <w:tcMar>
              <w:top w:w="100" w:type="dxa"/>
              <w:left w:w="120" w:type="dxa"/>
              <w:bottom w:w="100" w:type="dxa"/>
              <w:right w:w="120" w:type="dxa"/>
            </w:tcMar>
            <w:vAlign w:val="center"/>
          </w:tcPr>
          <w:p w14:paraId="446E72BE" w14:textId="77777777" w:rsidR="00B10791" w:rsidRDefault="00000000">
            <w:r>
              <w:rPr>
                <w:color w:val="000000"/>
                <w:sz w:val="20"/>
                <w:szCs w:val="20"/>
              </w:rPr>
              <w:t>Oui (count-to-</w:t>
            </w:r>
            <w:proofErr w:type="spellStart"/>
            <w:r>
              <w:rPr>
                <w:color w:val="000000"/>
                <w:sz w:val="20"/>
                <w:szCs w:val="20"/>
              </w:rPr>
              <w:t>infinity</w:t>
            </w:r>
            <w:proofErr w:type="spellEnd"/>
            <w:r>
              <w:rPr>
                <w:color w:val="000000"/>
                <w:sz w:val="20"/>
                <w:szCs w:val="20"/>
              </w:rPr>
              <w:t>)</w:t>
            </w:r>
          </w:p>
        </w:tc>
        <w:tc>
          <w:tcPr>
            <w:tcW w:w="0" w:type="auto"/>
            <w:shd w:val="clear" w:color="auto" w:fill="F2F6FA"/>
            <w:tcMar>
              <w:top w:w="100" w:type="dxa"/>
              <w:left w:w="120" w:type="dxa"/>
              <w:bottom w:w="100" w:type="dxa"/>
              <w:right w:w="120" w:type="dxa"/>
            </w:tcMar>
            <w:vAlign w:val="center"/>
          </w:tcPr>
          <w:p w14:paraId="5C34B358" w14:textId="77777777" w:rsidR="00B10791" w:rsidRDefault="00000000">
            <w:r>
              <w:rPr>
                <w:color w:val="000000"/>
                <w:sz w:val="20"/>
                <w:szCs w:val="20"/>
              </w:rPr>
              <w:t>Non, par construction</w:t>
            </w:r>
          </w:p>
        </w:tc>
      </w:tr>
      <w:tr w:rsidR="00B10791" w14:paraId="61E8BC44"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2FA07748" w14:textId="77777777" w:rsidR="00B10791" w:rsidRDefault="00000000">
            <w:r>
              <w:rPr>
                <w:color w:val="000000"/>
                <w:sz w:val="20"/>
                <w:szCs w:val="20"/>
              </w:rPr>
              <w:t>Charge CPU / mémoire</w:t>
            </w:r>
          </w:p>
        </w:tc>
        <w:tc>
          <w:tcPr>
            <w:tcW w:w="0" w:type="auto"/>
            <w:shd w:val="clear" w:color="auto" w:fill="FFFFFF"/>
            <w:tcMar>
              <w:top w:w="100" w:type="dxa"/>
              <w:left w:w="120" w:type="dxa"/>
              <w:bottom w:w="100" w:type="dxa"/>
              <w:right w:w="120" w:type="dxa"/>
            </w:tcMar>
            <w:vAlign w:val="center"/>
          </w:tcPr>
          <w:p w14:paraId="3A0CCA51" w14:textId="77777777" w:rsidR="00B10791" w:rsidRDefault="00000000">
            <w:r>
              <w:rPr>
                <w:color w:val="000000"/>
                <w:sz w:val="20"/>
                <w:szCs w:val="20"/>
              </w:rPr>
              <w:t>Faible</w:t>
            </w:r>
          </w:p>
        </w:tc>
        <w:tc>
          <w:tcPr>
            <w:tcW w:w="0" w:type="auto"/>
            <w:shd w:val="clear" w:color="auto" w:fill="FFFFFF"/>
            <w:tcMar>
              <w:top w:w="100" w:type="dxa"/>
              <w:left w:w="120" w:type="dxa"/>
              <w:bottom w:w="100" w:type="dxa"/>
              <w:right w:w="120" w:type="dxa"/>
            </w:tcMar>
            <w:vAlign w:val="center"/>
          </w:tcPr>
          <w:p w14:paraId="17BA5201" w14:textId="77777777" w:rsidR="00B10791" w:rsidRDefault="00000000">
            <w:r>
              <w:rPr>
                <w:color w:val="000000"/>
                <w:sz w:val="20"/>
                <w:szCs w:val="20"/>
              </w:rPr>
              <w:t>Plus élevée</w:t>
            </w:r>
          </w:p>
        </w:tc>
      </w:tr>
      <w:tr w:rsidR="00B10791" w14:paraId="285FD485" w14:textId="77777777">
        <w:tblPrEx>
          <w:tblCellMar>
            <w:top w:w="0" w:type="dxa"/>
            <w:bottom w:w="0" w:type="dxa"/>
          </w:tblCellMar>
        </w:tblPrEx>
        <w:tc>
          <w:tcPr>
            <w:tcW w:w="0" w:type="auto"/>
            <w:shd w:val="clear" w:color="auto" w:fill="F2F6FA"/>
            <w:tcMar>
              <w:top w:w="100" w:type="dxa"/>
              <w:left w:w="120" w:type="dxa"/>
              <w:bottom w:w="100" w:type="dxa"/>
              <w:right w:w="120" w:type="dxa"/>
            </w:tcMar>
            <w:vAlign w:val="center"/>
          </w:tcPr>
          <w:p w14:paraId="388B569E" w14:textId="77777777" w:rsidR="00B10791" w:rsidRDefault="00000000">
            <w:r>
              <w:rPr>
                <w:color w:val="000000"/>
                <w:sz w:val="20"/>
                <w:szCs w:val="20"/>
              </w:rPr>
              <w:t>Exemples</w:t>
            </w:r>
          </w:p>
        </w:tc>
        <w:tc>
          <w:tcPr>
            <w:tcW w:w="0" w:type="auto"/>
            <w:shd w:val="clear" w:color="auto" w:fill="F2F6FA"/>
            <w:tcMar>
              <w:top w:w="100" w:type="dxa"/>
              <w:left w:w="120" w:type="dxa"/>
              <w:bottom w:w="100" w:type="dxa"/>
              <w:right w:w="120" w:type="dxa"/>
            </w:tcMar>
            <w:vAlign w:val="center"/>
          </w:tcPr>
          <w:p w14:paraId="5486C40A" w14:textId="77777777" w:rsidR="00B10791" w:rsidRDefault="00000000">
            <w:r>
              <w:rPr>
                <w:color w:val="000000"/>
                <w:sz w:val="20"/>
                <w:szCs w:val="20"/>
              </w:rPr>
              <w:t>RIP, EIGRP</w:t>
            </w:r>
          </w:p>
        </w:tc>
        <w:tc>
          <w:tcPr>
            <w:tcW w:w="0" w:type="auto"/>
            <w:shd w:val="clear" w:color="auto" w:fill="F2F6FA"/>
            <w:tcMar>
              <w:top w:w="100" w:type="dxa"/>
              <w:left w:w="120" w:type="dxa"/>
              <w:bottom w:w="100" w:type="dxa"/>
              <w:right w:w="120" w:type="dxa"/>
            </w:tcMar>
            <w:vAlign w:val="center"/>
          </w:tcPr>
          <w:p w14:paraId="511B88E7" w14:textId="77777777" w:rsidR="00B10791" w:rsidRDefault="00000000">
            <w:r>
              <w:rPr>
                <w:color w:val="000000"/>
                <w:sz w:val="20"/>
                <w:szCs w:val="20"/>
              </w:rPr>
              <w:t>OSPF, IS-IS</w:t>
            </w:r>
          </w:p>
        </w:tc>
      </w:tr>
    </w:tbl>
    <w:p w14:paraId="7F68BA8B" w14:textId="77777777" w:rsidR="00B10791" w:rsidRDefault="00B10791">
      <w:pPr>
        <w:spacing w:after="120"/>
      </w:pPr>
    </w:p>
    <w:p w14:paraId="6FC96A98" w14:textId="77777777" w:rsidR="00B10791" w:rsidRDefault="00000000">
      <w:pPr>
        <w:pStyle w:val="Titre2"/>
        <w:spacing w:before="280" w:after="140"/>
      </w:pPr>
      <w:r>
        <w:rPr>
          <w:b/>
          <w:bCs/>
          <w:color w:val="0B5C55"/>
        </w:rPr>
        <w:t>3.4 Pourquoi cette distinction est déterminante pour MPLS</w:t>
      </w:r>
    </w:p>
    <w:p w14:paraId="1D0B2C0D" w14:textId="77777777" w:rsidR="00B10791" w:rsidRDefault="00000000">
      <w:pPr>
        <w:spacing w:after="160" w:line="276" w:lineRule="auto"/>
      </w:pPr>
      <w:r>
        <w:t xml:space="preserve">Ce choix algorithmique n'est pas neutre pour une architecture MPLS. LDP (Label Distribution Protocol), qui sera détaillé dans la section suivante du rapport, applique le principe « LDP </w:t>
      </w:r>
      <w:proofErr w:type="spellStart"/>
      <w:r>
        <w:t>follows</w:t>
      </w:r>
      <w:proofErr w:type="spellEnd"/>
      <w:r>
        <w:t xml:space="preserve"> IGP » : il attribue un label à chaque route exactement telle qu'elle est installée par l'IGP dans la table de routage. Un protocole à état de lien comme OSPF, parce qu'il donne à chaque routeur une vision cohérente et complète de la topologie, permet à LDP de construire des </w:t>
      </w:r>
      <w:proofErr w:type="spellStart"/>
      <w:r>
        <w:t>LSPs</w:t>
      </w:r>
      <w:proofErr w:type="spellEnd"/>
      <w:r>
        <w:t xml:space="preserve"> stables et prévisibles, incluant le support natif de l'ECMP (</w:t>
      </w:r>
      <w:proofErr w:type="spellStart"/>
      <w:r>
        <w:t>Equal</w:t>
      </w:r>
      <w:proofErr w:type="spellEnd"/>
      <w:r>
        <w:t xml:space="preserve">-Cost Multi-Path) observé dans la topologie </w:t>
      </w:r>
      <w:proofErr w:type="spellStart"/>
      <w:r>
        <w:t>diamond</w:t>
      </w:r>
      <w:proofErr w:type="spellEnd"/>
      <w:r>
        <w:t xml:space="preserve"> de ce lab. C'est l'une des raisons théoriques, indépendamment des arguments pratiques développés plus loin, qui motive le choix d'OSPF plutôt que d'un protocole à vecteur de distance comme EIGRP pour le cœur de ce réseau MPLS.</w:t>
      </w:r>
    </w:p>
    <w:p w14:paraId="50A5B8AD" w14:textId="77777777" w:rsidR="00B10791" w:rsidRDefault="00000000">
      <w:pPr>
        <w:pStyle w:val="Titre1"/>
        <w:pBdr>
          <w:bottom w:val="single" w:sz="6" w:space="4" w:color="1F4E79"/>
        </w:pBdr>
        <w:spacing w:before="360" w:after="200"/>
      </w:pPr>
      <w:r>
        <w:rPr>
          <w:b/>
          <w:bCs/>
          <w:color w:val="1F4E79"/>
        </w:rPr>
        <w:t>4. MPLS : notions théoriques fondamentales</w:t>
      </w:r>
    </w:p>
    <w:p w14:paraId="00AAA968" w14:textId="77777777" w:rsidR="00B10791" w:rsidRDefault="00000000">
      <w:pPr>
        <w:pStyle w:val="Titre2"/>
        <w:spacing w:before="280" w:after="140"/>
      </w:pPr>
      <w:r>
        <w:rPr>
          <w:b/>
          <w:bCs/>
          <w:color w:val="0B5C55"/>
        </w:rPr>
        <w:t>4.1 Limite du routage IP traditionnel</w:t>
      </w:r>
    </w:p>
    <w:p w14:paraId="2E31A51E" w14:textId="77777777" w:rsidR="00B10791" w:rsidRDefault="00000000">
      <w:pPr>
        <w:spacing w:after="160" w:line="276" w:lineRule="auto"/>
      </w:pPr>
      <w:r>
        <w:lastRenderedPageBreak/>
        <w:t>Dans un réseau IP classique, chaque routeur du chemin effectue, pour chaque paquet, une recherche complète dans sa table de routage (</w:t>
      </w:r>
      <w:proofErr w:type="spellStart"/>
      <w:r>
        <w:t>longest</w:t>
      </w:r>
      <w:proofErr w:type="spellEnd"/>
      <w:r>
        <w:t xml:space="preserve"> </w:t>
      </w:r>
      <w:proofErr w:type="spellStart"/>
      <w:r>
        <w:t>prefix</w:t>
      </w:r>
      <w:proofErr w:type="spellEnd"/>
      <w:r>
        <w:t xml:space="preserve"> match) afin de déterminer la meilleure interface de sortie. Cette opération est répétée indépendamment à chaque saut, ce qui devient coûteux en ressources sur des réseaux de cœur à très haut débit, et ne permet pas nativement de faire de l'ingénierie de trafic (choisir un chemin différent du plus court calculé par l'IGP) ni d'isoler le trafic de plusieurs clients sur une infrastructure partagée.</w:t>
      </w:r>
    </w:p>
    <w:p w14:paraId="41983B6D" w14:textId="77777777" w:rsidR="00B10791" w:rsidRDefault="00000000">
      <w:pPr>
        <w:pStyle w:val="Titre2"/>
        <w:spacing w:before="280" w:after="140"/>
      </w:pPr>
      <w:r>
        <w:rPr>
          <w:b/>
          <w:bCs/>
          <w:color w:val="0B5C55"/>
        </w:rPr>
        <w:t xml:space="preserve">4.2 Le principe de la commutation par label (Label </w:t>
      </w:r>
      <w:proofErr w:type="spellStart"/>
      <w:r>
        <w:rPr>
          <w:b/>
          <w:bCs/>
          <w:color w:val="0B5C55"/>
        </w:rPr>
        <w:t>Switching</w:t>
      </w:r>
      <w:proofErr w:type="spellEnd"/>
      <w:r>
        <w:rPr>
          <w:b/>
          <w:bCs/>
          <w:color w:val="0B5C55"/>
        </w:rPr>
        <w:t>)</w:t>
      </w:r>
    </w:p>
    <w:p w14:paraId="082CAD8A" w14:textId="77777777" w:rsidR="00B10791" w:rsidRDefault="00000000">
      <w:pPr>
        <w:spacing w:after="160" w:line="276" w:lineRule="auto"/>
      </w:pPr>
      <w:r>
        <w:t>MPLS (</w:t>
      </w:r>
      <w:proofErr w:type="spellStart"/>
      <w:r>
        <w:t>Multiprotocol</w:t>
      </w:r>
      <w:proofErr w:type="spellEnd"/>
      <w:r>
        <w:t xml:space="preserve"> Label </w:t>
      </w:r>
      <w:proofErr w:type="spellStart"/>
      <w:r>
        <w:t>Switching</w:t>
      </w:r>
      <w:proofErr w:type="spellEnd"/>
      <w:r>
        <w:t>, RFC 3031) répond à cette limite en insérant une courte étiquette de longueur fixe (le label, 20 bits) entre l'en-tête de couche 2 et l'en-tête IP. Une fois ce label imposé à l'entrée du réseau MPLS, les routeurs du cœur ne consultent plus l'adresse IP de destination : ils se contentent de lire le label entrant et de le commuter vers un label sortant, de façon comparable à la commutation de circuits virtuels (à la manière d'ATM ou de Frame Relay).</w:t>
      </w:r>
    </w:p>
    <w:p w14:paraId="350A3657" w14:textId="77777777" w:rsidR="00B10791" w:rsidRDefault="00000000">
      <w:pPr>
        <w:spacing w:after="160" w:line="276" w:lineRule="auto"/>
      </w:pPr>
      <w:r>
        <w:t>Trois opérations sont possibles sur un label le long du chemin :</w:t>
      </w:r>
    </w:p>
    <w:p w14:paraId="63D36BB7" w14:textId="77777777" w:rsidR="00B10791" w:rsidRDefault="00000000">
      <w:pPr>
        <w:pStyle w:val="Paragraphedeliste"/>
        <w:numPr>
          <w:ilvl w:val="0"/>
          <w:numId w:val="1"/>
        </w:numPr>
        <w:spacing w:after="80"/>
      </w:pPr>
      <w:r>
        <w:t>Push — le routeur d'entrée (</w:t>
      </w:r>
      <w:proofErr w:type="spellStart"/>
      <w:r>
        <w:t>ingress</w:t>
      </w:r>
      <w:proofErr w:type="spellEnd"/>
      <w:r>
        <w:t xml:space="preserve"> LER) impose un label au paquet IP.</w:t>
      </w:r>
    </w:p>
    <w:p w14:paraId="40D82997" w14:textId="77777777" w:rsidR="00B10791" w:rsidRDefault="00000000">
      <w:pPr>
        <w:pStyle w:val="Paragraphedeliste"/>
        <w:numPr>
          <w:ilvl w:val="0"/>
          <w:numId w:val="1"/>
        </w:numPr>
        <w:spacing w:after="80"/>
      </w:pPr>
      <w:r>
        <w:t>Swap — chaque routeur intermédiaire remplace le label entrant par un nouveau label sortant.</w:t>
      </w:r>
    </w:p>
    <w:p w14:paraId="3FC06517" w14:textId="77777777" w:rsidR="00B10791" w:rsidRDefault="00000000">
      <w:pPr>
        <w:pStyle w:val="Paragraphedeliste"/>
        <w:numPr>
          <w:ilvl w:val="0"/>
          <w:numId w:val="1"/>
        </w:numPr>
        <w:spacing w:after="80"/>
      </w:pPr>
      <w:r>
        <w:t xml:space="preserve">Pop — le label est retiré, généralement un saut avant la destination finale (PHP — </w:t>
      </w:r>
      <w:proofErr w:type="spellStart"/>
      <w:r>
        <w:t>Penultimate</w:t>
      </w:r>
      <w:proofErr w:type="spellEnd"/>
      <w:r>
        <w:t xml:space="preserve"> Hop </w:t>
      </w:r>
      <w:proofErr w:type="spellStart"/>
      <w:r>
        <w:t>Popping</w:t>
      </w:r>
      <w:proofErr w:type="spellEnd"/>
      <w:r>
        <w:t>).</w:t>
      </w:r>
    </w:p>
    <w:p w14:paraId="52F2F806" w14:textId="77777777" w:rsidR="00B10791" w:rsidRDefault="00000000">
      <w:pPr>
        <w:pBdr>
          <w:left w:val="single" w:sz="18" w:space="8" w:color="FFA45D"/>
        </w:pBdr>
        <w:shd w:val="clear" w:color="auto" w:fill="FDF2E3"/>
        <w:spacing w:before="120" w:after="200"/>
        <w:ind w:left="100"/>
      </w:pPr>
      <w:r>
        <w:rPr>
          <w:b/>
          <w:bCs/>
          <w:i/>
          <w:iCs/>
          <w:color w:val="8A4B00"/>
          <w:sz w:val="21"/>
          <w:szCs w:val="21"/>
        </w:rPr>
        <w:t xml:space="preserve">REMARQUE : </w:t>
      </w:r>
      <w:r>
        <w:rPr>
          <w:i/>
          <w:iCs/>
          <w:color w:val="5C3400"/>
          <w:sz w:val="21"/>
          <w:szCs w:val="21"/>
        </w:rPr>
        <w:t xml:space="preserve">ces trois opérations et leur application concrète dans ce </w:t>
      </w:r>
      <w:proofErr w:type="spellStart"/>
      <w:r>
        <w:rPr>
          <w:i/>
          <w:iCs/>
          <w:color w:val="5C3400"/>
          <w:sz w:val="21"/>
          <w:szCs w:val="21"/>
        </w:rPr>
        <w:t>lab</w:t>
      </w:r>
      <w:proofErr w:type="spellEnd"/>
      <w:r>
        <w:rPr>
          <w:i/>
          <w:iCs/>
          <w:color w:val="5C3400"/>
          <w:sz w:val="21"/>
          <w:szCs w:val="21"/>
        </w:rPr>
        <w:t xml:space="preserve"> (labels </w:t>
      </w:r>
      <w:proofErr w:type="spellStart"/>
      <w:r>
        <w:rPr>
          <w:i/>
          <w:iCs/>
          <w:color w:val="5C3400"/>
          <w:sz w:val="21"/>
          <w:szCs w:val="21"/>
        </w:rPr>
        <w:t>imp-null</w:t>
      </w:r>
      <w:proofErr w:type="spellEnd"/>
      <w:r>
        <w:rPr>
          <w:i/>
          <w:iCs/>
          <w:color w:val="5C3400"/>
          <w:sz w:val="21"/>
          <w:szCs w:val="21"/>
        </w:rPr>
        <w:t>, LIB, LFIB) sont détaillées avec les outputs réels des routeurs dans la section LDP du rapport.</w:t>
      </w:r>
    </w:p>
    <w:p w14:paraId="4E21E1C2" w14:textId="77777777" w:rsidR="00B10791" w:rsidRDefault="00000000">
      <w:pPr>
        <w:pStyle w:val="Titre2"/>
        <w:spacing w:before="280" w:after="140"/>
      </w:pPr>
      <w:r>
        <w:rPr>
          <w:b/>
          <w:bCs/>
          <w:color w:val="0B5C55"/>
        </w:rPr>
        <w:t xml:space="preserve">4.3 FEC — </w:t>
      </w:r>
      <w:proofErr w:type="spellStart"/>
      <w:r>
        <w:rPr>
          <w:b/>
          <w:bCs/>
          <w:color w:val="0B5C55"/>
        </w:rPr>
        <w:t>Forwarding</w:t>
      </w:r>
      <w:proofErr w:type="spellEnd"/>
      <w:r>
        <w:rPr>
          <w:b/>
          <w:bCs/>
          <w:color w:val="0B5C55"/>
        </w:rPr>
        <w:t xml:space="preserve"> Equivalence Class</w:t>
      </w:r>
    </w:p>
    <w:p w14:paraId="04DEB8AE" w14:textId="77777777" w:rsidR="00B10791" w:rsidRDefault="00000000">
      <w:pPr>
        <w:spacing w:after="160" w:line="276" w:lineRule="auto"/>
      </w:pPr>
      <w:r>
        <w:t>Une FEC (</w:t>
      </w:r>
      <w:proofErr w:type="spellStart"/>
      <w:r>
        <w:t>Forwarding</w:t>
      </w:r>
      <w:proofErr w:type="spellEnd"/>
      <w:r>
        <w:t xml:space="preserve"> Equivalence Class) est un ensemble de paquets traités de manière identique par le réseau MPLS : même chemin, même traitement, même label. Le plus souvent, une FEC correspond à un préfixe de destination donné (par exemple, tous les paquets à destination de 3.3.3.3/32 appartiennent à la même FEC). C'est le routeur d'entrée (</w:t>
      </w:r>
      <w:proofErr w:type="spellStart"/>
      <w:r>
        <w:t>ingress</w:t>
      </w:r>
      <w:proofErr w:type="spellEnd"/>
      <w:r>
        <w:t xml:space="preserve"> LER) qui classifie chaque paquet dans sa FEC et lui impose le label correspondant ; les routeurs suivants n'ont plus besoin de reclassifier le paquet, ils se contentent de commuter le label.</w:t>
      </w:r>
    </w:p>
    <w:p w14:paraId="6F5F9F95" w14:textId="77777777" w:rsidR="00B10791" w:rsidRDefault="00000000">
      <w:pPr>
        <w:pStyle w:val="Titre2"/>
        <w:spacing w:before="280" w:after="140"/>
      </w:pPr>
      <w:r>
        <w:rPr>
          <w:b/>
          <w:bCs/>
          <w:color w:val="0B5C55"/>
        </w:rPr>
        <w:t xml:space="preserve">4.4 LSP — Label </w:t>
      </w:r>
      <w:proofErr w:type="spellStart"/>
      <w:r>
        <w:rPr>
          <w:b/>
          <w:bCs/>
          <w:color w:val="0B5C55"/>
        </w:rPr>
        <w:t>Switched</w:t>
      </w:r>
      <w:proofErr w:type="spellEnd"/>
      <w:r>
        <w:rPr>
          <w:b/>
          <w:bCs/>
          <w:color w:val="0B5C55"/>
        </w:rPr>
        <w:t xml:space="preserve"> Path</w:t>
      </w:r>
    </w:p>
    <w:p w14:paraId="427A160F" w14:textId="77777777" w:rsidR="00B10791" w:rsidRDefault="00000000">
      <w:pPr>
        <w:spacing w:after="160" w:line="276" w:lineRule="auto"/>
      </w:pPr>
      <w:r>
        <w:t xml:space="preserve">Un LSP (Label </w:t>
      </w:r>
      <w:proofErr w:type="spellStart"/>
      <w:r>
        <w:t>Switched</w:t>
      </w:r>
      <w:proofErr w:type="spellEnd"/>
      <w:r>
        <w:t xml:space="preserve"> Path) est le chemin unidirectionnel et prédéterminé que suit un paquet labellisé à travers le cœur MPLS, du routeur d'entrée (</w:t>
      </w:r>
      <w:proofErr w:type="spellStart"/>
      <w:r>
        <w:t>ingress</w:t>
      </w:r>
      <w:proofErr w:type="spellEnd"/>
      <w:r>
        <w:t xml:space="preserve"> LER) au routeur de sortie (</w:t>
      </w:r>
      <w:proofErr w:type="spellStart"/>
      <w:r>
        <w:t>egress</w:t>
      </w:r>
      <w:proofErr w:type="spellEnd"/>
      <w:r>
        <w:t xml:space="preserve"> LER), en traversant une succession de routeurs intermédiaires (LSR — Label </w:t>
      </w:r>
      <w:proofErr w:type="spellStart"/>
      <w:r>
        <w:t>Switching</w:t>
      </w:r>
      <w:proofErr w:type="spellEnd"/>
      <w:r>
        <w:t xml:space="preserve"> Router) qui commutent le label saut par saut. Un LSP est l'équivalent, dans le monde MPLS, d'un circuit virtuel : une fois établi, il ne nécessite plus de </w:t>
      </w:r>
      <w:proofErr w:type="spellStart"/>
      <w:r>
        <w:t>lookup</w:t>
      </w:r>
      <w:proofErr w:type="spellEnd"/>
      <w:r>
        <w:t xml:space="preserve"> IP à chaque saut, uniquement une commutation de label.</w:t>
      </w:r>
    </w:p>
    <w:p w14:paraId="60AD0BE6" w14:textId="77777777" w:rsidR="00B10791" w:rsidRDefault="00000000">
      <w:pPr>
        <w:spacing w:after="160" w:line="276" w:lineRule="auto"/>
      </w:pPr>
      <w:r>
        <w:t xml:space="preserve">Dans ce </w:t>
      </w:r>
      <w:proofErr w:type="spellStart"/>
      <w:r>
        <w:t>lab</w:t>
      </w:r>
      <w:proofErr w:type="spellEnd"/>
      <w:r>
        <w:t xml:space="preserve">, les </w:t>
      </w:r>
      <w:proofErr w:type="spellStart"/>
      <w:r>
        <w:t>LSPs</w:t>
      </w:r>
      <w:proofErr w:type="spellEnd"/>
      <w:r>
        <w:t xml:space="preserve"> entre PE1 et PE2 sont construits automatiquement par LDP, qui distribue les labels en suivant exactement la topologie calculée par OSPF (principe « LDP </w:t>
      </w:r>
      <w:proofErr w:type="spellStart"/>
      <w:r>
        <w:t>follows</w:t>
      </w:r>
      <w:proofErr w:type="spellEnd"/>
      <w:r>
        <w:t xml:space="preserve"> IGP » évoqué en section 3.4). C'est pourquoi la topologie </w:t>
      </w:r>
      <w:proofErr w:type="spellStart"/>
      <w:r>
        <w:t>diamond</w:t>
      </w:r>
      <w:proofErr w:type="spellEnd"/>
      <w:r>
        <w:t xml:space="preserve"> du </w:t>
      </w:r>
      <w:proofErr w:type="spellStart"/>
      <w:r>
        <w:t>lab</w:t>
      </w:r>
      <w:proofErr w:type="spellEnd"/>
      <w:r>
        <w:t xml:space="preserve"> génère deux </w:t>
      </w:r>
      <w:proofErr w:type="spellStart"/>
      <w:r>
        <w:t>LSPs</w:t>
      </w:r>
      <w:proofErr w:type="spellEnd"/>
      <w:r>
        <w:t xml:space="preserve"> à coût égal entre PE1 et PE2 (via P1 et via P2), permettant l'ECMP observé dans la LFIB (voir section LDP).</w:t>
      </w:r>
    </w:p>
    <w:tbl>
      <w:tblPr>
        <w:tblW w:w="5000" w:type="pct"/>
        <w:tblBorders>
          <w:top w:val="single" w:sz="2" w:space="0" w:color="333333"/>
          <w:left w:val="single" w:sz="2" w:space="0" w:color="333333"/>
          <w:bottom w:val="single" w:sz="2" w:space="0" w:color="333333"/>
          <w:right w:val="single" w:sz="2" w:space="0" w:color="333333"/>
        </w:tblBorders>
        <w:tblCellMar>
          <w:left w:w="10" w:type="dxa"/>
          <w:right w:w="10" w:type="dxa"/>
        </w:tblCellMar>
        <w:tblLook w:val="04A0" w:firstRow="1" w:lastRow="0" w:firstColumn="1" w:lastColumn="0" w:noHBand="0" w:noVBand="1"/>
      </w:tblPr>
      <w:tblGrid>
        <w:gridCol w:w="10034"/>
      </w:tblGrid>
      <w:tr w:rsidR="00B10791" w14:paraId="1C4922BC"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69AE5736" w14:textId="77777777" w:rsidR="00B10791" w:rsidRDefault="00000000">
            <w:pPr>
              <w:spacing w:after="20"/>
            </w:pPr>
            <w:proofErr w:type="spellStart"/>
            <w:r>
              <w:rPr>
                <w:rFonts w:ascii="Consolas" w:eastAsia="Consolas" w:hAnsi="Consolas" w:cs="Consolas"/>
                <w:color w:val="D4D4D4"/>
                <w:sz w:val="18"/>
                <w:szCs w:val="18"/>
              </w:rPr>
              <w:t>Ingress</w:t>
            </w:r>
            <w:proofErr w:type="spellEnd"/>
            <w:r>
              <w:rPr>
                <w:rFonts w:ascii="Consolas" w:eastAsia="Consolas" w:hAnsi="Consolas" w:cs="Consolas"/>
                <w:color w:val="D4D4D4"/>
                <w:sz w:val="18"/>
                <w:szCs w:val="18"/>
              </w:rPr>
              <w:t xml:space="preserve"> LER              LSR (</w:t>
            </w:r>
            <w:proofErr w:type="spellStart"/>
            <w:proofErr w:type="gramStart"/>
            <w:r>
              <w:rPr>
                <w:rFonts w:ascii="Consolas" w:eastAsia="Consolas" w:hAnsi="Consolas" w:cs="Consolas"/>
                <w:color w:val="D4D4D4"/>
                <w:sz w:val="18"/>
                <w:szCs w:val="18"/>
              </w:rPr>
              <w:t>core</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LSR (</w:t>
            </w:r>
            <w:proofErr w:type="spellStart"/>
            <w:proofErr w:type="gramStart"/>
            <w:r>
              <w:rPr>
                <w:rFonts w:ascii="Consolas" w:eastAsia="Consolas" w:hAnsi="Consolas" w:cs="Consolas"/>
                <w:color w:val="D4D4D4"/>
                <w:sz w:val="18"/>
                <w:szCs w:val="18"/>
              </w:rPr>
              <w:t>core</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Egress</w:t>
            </w:r>
            <w:proofErr w:type="spellEnd"/>
            <w:r>
              <w:rPr>
                <w:rFonts w:ascii="Consolas" w:eastAsia="Consolas" w:hAnsi="Consolas" w:cs="Consolas"/>
                <w:color w:val="D4D4D4"/>
                <w:sz w:val="18"/>
                <w:szCs w:val="18"/>
              </w:rPr>
              <w:t xml:space="preserve"> LER</w:t>
            </w:r>
          </w:p>
          <w:p w14:paraId="60549898" w14:textId="77777777" w:rsidR="00B10791" w:rsidRDefault="00000000">
            <w:pPr>
              <w:spacing w:after="20"/>
            </w:pPr>
            <w:r>
              <w:rPr>
                <w:rFonts w:ascii="Consolas" w:eastAsia="Consolas" w:hAnsi="Consolas" w:cs="Consolas"/>
                <w:color w:val="D4D4D4"/>
                <w:sz w:val="18"/>
                <w:szCs w:val="18"/>
              </w:rPr>
              <w:t xml:space="preserve">   PE</w:t>
            </w:r>
            <w:proofErr w:type="gramStart"/>
            <w:r>
              <w:rPr>
                <w:rFonts w:ascii="Consolas" w:eastAsia="Consolas" w:hAnsi="Consolas" w:cs="Consolas"/>
                <w:color w:val="D4D4D4"/>
                <w:sz w:val="18"/>
                <w:szCs w:val="18"/>
              </w:rPr>
              <w:t>1  --------</w:t>
            </w:r>
            <w:proofErr w:type="gramEnd"/>
            <w:r>
              <w:rPr>
                <w:rFonts w:ascii="Consolas" w:eastAsia="Consolas" w:hAnsi="Consolas" w:cs="Consolas"/>
                <w:color w:val="D4D4D4"/>
                <w:sz w:val="18"/>
                <w:szCs w:val="18"/>
              </w:rPr>
              <w:t>Push--------</w:t>
            </w:r>
            <w:proofErr w:type="gramStart"/>
            <w:r>
              <w:rPr>
                <w:rFonts w:ascii="Consolas" w:eastAsia="Consolas" w:hAnsi="Consolas" w:cs="Consolas"/>
                <w:color w:val="D4D4D4"/>
                <w:sz w:val="18"/>
                <w:szCs w:val="18"/>
              </w:rPr>
              <w:t>&gt;  P1  --------</w:t>
            </w:r>
            <w:proofErr w:type="gramEnd"/>
            <w:r>
              <w:rPr>
                <w:rFonts w:ascii="Consolas" w:eastAsia="Consolas" w:hAnsi="Consolas" w:cs="Consolas"/>
                <w:color w:val="D4D4D4"/>
                <w:sz w:val="18"/>
                <w:szCs w:val="18"/>
              </w:rPr>
              <w:t>Swap--------</w:t>
            </w:r>
            <w:proofErr w:type="gramStart"/>
            <w:r>
              <w:rPr>
                <w:rFonts w:ascii="Consolas" w:eastAsia="Consolas" w:hAnsi="Consolas" w:cs="Consolas"/>
                <w:color w:val="D4D4D4"/>
                <w:sz w:val="18"/>
                <w:szCs w:val="18"/>
              </w:rPr>
              <w:t>&gt;  P2  ---------</w:t>
            </w:r>
            <w:proofErr w:type="gramEnd"/>
            <w:r>
              <w:rPr>
                <w:rFonts w:ascii="Consolas" w:eastAsia="Consolas" w:hAnsi="Consolas" w:cs="Consolas"/>
                <w:color w:val="D4D4D4"/>
                <w:sz w:val="18"/>
                <w:szCs w:val="18"/>
              </w:rPr>
              <w:t>Pop---------</w:t>
            </w:r>
            <w:proofErr w:type="gramStart"/>
            <w:r>
              <w:rPr>
                <w:rFonts w:ascii="Consolas" w:eastAsia="Consolas" w:hAnsi="Consolas" w:cs="Consolas"/>
                <w:color w:val="D4D4D4"/>
                <w:sz w:val="18"/>
                <w:szCs w:val="18"/>
              </w:rPr>
              <w:t>&gt;  PE</w:t>
            </w:r>
            <w:proofErr w:type="gramEnd"/>
            <w:r>
              <w:rPr>
                <w:rFonts w:ascii="Consolas" w:eastAsia="Consolas" w:hAnsi="Consolas" w:cs="Consolas"/>
                <w:color w:val="D4D4D4"/>
                <w:sz w:val="18"/>
                <w:szCs w:val="18"/>
              </w:rPr>
              <w:t>2</w:t>
            </w:r>
          </w:p>
          <w:p w14:paraId="286EE13A" w14:textId="77777777" w:rsidR="00B10791" w:rsidRDefault="00000000">
            <w:pPr>
              <w:spacing w:after="20"/>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impose</w:t>
            </w:r>
            <w:proofErr w:type="gramEnd"/>
            <w:r>
              <w:rPr>
                <w:rFonts w:ascii="Consolas" w:eastAsia="Consolas" w:hAnsi="Consolas" w:cs="Consolas"/>
                <w:color w:val="D4D4D4"/>
                <w:sz w:val="18"/>
                <w:szCs w:val="18"/>
              </w:rPr>
              <w:t xml:space="preserve"> le </w:t>
            </w:r>
            <w:proofErr w:type="gramStart"/>
            <w:r>
              <w:rPr>
                <w:rFonts w:ascii="Consolas" w:eastAsia="Consolas" w:hAnsi="Consolas" w:cs="Consolas"/>
                <w:color w:val="D4D4D4"/>
                <w:sz w:val="18"/>
                <w:szCs w:val="18"/>
              </w:rPr>
              <w:t xml:space="preserve">label,   </w:t>
            </w:r>
            <w:proofErr w:type="gram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commute le label         </w:t>
            </w:r>
            <w:proofErr w:type="gramStart"/>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retire le label,</w:t>
            </w:r>
          </w:p>
          <w:p w14:paraId="40C33806" w14:textId="77777777" w:rsidR="00B10791" w:rsidRDefault="00000000">
            <w:pPr>
              <w:spacing w:after="20"/>
            </w:pPr>
            <w:r>
              <w:rPr>
                <w:rFonts w:ascii="Consolas" w:eastAsia="Consolas" w:hAnsi="Consolas" w:cs="Consolas"/>
                <w:color w:val="D4D4D4"/>
                <w:sz w:val="18"/>
                <w:szCs w:val="18"/>
              </w:rPr>
              <w:lastRenderedPageBreak/>
              <w:t xml:space="preserve">    </w:t>
            </w:r>
            <w:proofErr w:type="gramStart"/>
            <w:r>
              <w:rPr>
                <w:rFonts w:ascii="Consolas" w:eastAsia="Consolas" w:hAnsi="Consolas" w:cs="Consolas"/>
                <w:color w:val="D4D4D4"/>
                <w:sz w:val="18"/>
                <w:szCs w:val="18"/>
              </w:rPr>
              <w:t>classification</w:t>
            </w:r>
            <w:proofErr w:type="gram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FEC)   </w:t>
            </w:r>
            <w:proofErr w:type="gramEnd"/>
            <w:r>
              <w:rPr>
                <w:rFonts w:ascii="Consolas" w:eastAsia="Consolas" w:hAnsi="Consolas" w:cs="Consolas"/>
                <w:color w:val="D4D4D4"/>
                <w:sz w:val="18"/>
                <w:szCs w:val="18"/>
              </w:rPr>
              <w:t xml:space="preserve">     entrant -&gt; </w:t>
            </w:r>
            <w:proofErr w:type="gramStart"/>
            <w:r>
              <w:rPr>
                <w:rFonts w:ascii="Consolas" w:eastAsia="Consolas" w:hAnsi="Consolas" w:cs="Consolas"/>
                <w:color w:val="D4D4D4"/>
                <w:sz w:val="18"/>
                <w:szCs w:val="18"/>
              </w:rPr>
              <w:t xml:space="preserve">sortant)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lookup</w:t>
            </w:r>
            <w:proofErr w:type="spellEnd"/>
            <w:r>
              <w:rPr>
                <w:rFonts w:ascii="Consolas" w:eastAsia="Consolas" w:hAnsi="Consolas" w:cs="Consolas"/>
                <w:color w:val="D4D4D4"/>
                <w:sz w:val="18"/>
                <w:szCs w:val="18"/>
              </w:rPr>
              <w:t xml:space="preserve"> IP simple)</w:t>
            </w:r>
          </w:p>
        </w:tc>
      </w:tr>
    </w:tbl>
    <w:p w14:paraId="3CC656FF" w14:textId="77777777" w:rsidR="00B10791" w:rsidRDefault="00B10791">
      <w:pPr>
        <w:spacing w:after="200"/>
      </w:pPr>
    </w:p>
    <w:p w14:paraId="2004402B" w14:textId="77777777" w:rsidR="00B10791" w:rsidRDefault="00000000">
      <w:pPr>
        <w:pStyle w:val="Titre2"/>
        <w:spacing w:before="280" w:after="140"/>
      </w:pPr>
      <w:r>
        <w:rPr>
          <w:b/>
          <w:bCs/>
          <w:color w:val="0B5C55"/>
        </w:rPr>
        <w:t>4.5 De LDP au VPN L3</w:t>
      </w:r>
    </w:p>
    <w:p w14:paraId="5E1E68B1" w14:textId="77777777" w:rsidR="00B10791" w:rsidRDefault="00000000">
      <w:pPr>
        <w:spacing w:after="160" w:line="276" w:lineRule="auto"/>
      </w:pPr>
      <w:r>
        <w:t xml:space="preserve">La construction des </w:t>
      </w:r>
      <w:proofErr w:type="spellStart"/>
      <w:r>
        <w:t>LSPs</w:t>
      </w:r>
      <w:proofErr w:type="spellEnd"/>
      <w:r>
        <w:t xml:space="preserve"> par LDP, décrite ci-dessus, ne transporte que les routes internes au réseau ISP (les loopbacks de PE1, PE2, P1, P2). Elle ne suffit pas, à elle seule, à transporter les routes des clients à travers le réseau ni à les isoler les unes des autres. C'est le rôle de MP-BGP VPNv4, combiné aux </w:t>
      </w:r>
      <w:proofErr w:type="spellStart"/>
      <w:r>
        <w:t>VRFs</w:t>
      </w:r>
      <w:proofErr w:type="spellEnd"/>
      <w:r>
        <w:t>, détaillé dans les sections suivantes du rapport.</w:t>
      </w:r>
    </w:p>
    <w:p w14:paraId="4FA33B8C" w14:textId="77777777" w:rsidR="00B10791" w:rsidRDefault="00000000">
      <w:pPr>
        <w:pStyle w:val="Titre1"/>
        <w:pBdr>
          <w:bottom w:val="single" w:sz="6" w:space="4" w:color="1F4E79"/>
        </w:pBdr>
        <w:spacing w:before="360" w:after="200"/>
      </w:pPr>
      <w:r>
        <w:rPr>
          <w:b/>
          <w:bCs/>
          <w:color w:val="1F4E79"/>
        </w:rPr>
        <w:t>5. Aperçu théorique du modèle VPN L3 (RFC 4364)</w:t>
      </w:r>
    </w:p>
    <w:p w14:paraId="44303D41" w14:textId="77777777" w:rsidR="00B10791" w:rsidRDefault="00000000">
      <w:pPr>
        <w:spacing w:after="160" w:line="276" w:lineRule="auto"/>
      </w:pPr>
      <w:r>
        <w:t>Le modèle MPLS L3VPN, formalisé par la RFC 4364, repose sur trois rôles distincts de routeurs :</w:t>
      </w:r>
    </w:p>
    <w:p w14:paraId="09AAC6D3" w14:textId="77777777" w:rsidR="00B10791" w:rsidRDefault="00000000">
      <w:pPr>
        <w:pStyle w:val="Paragraphedeliste"/>
        <w:numPr>
          <w:ilvl w:val="0"/>
          <w:numId w:val="1"/>
        </w:numPr>
        <w:spacing w:after="80"/>
      </w:pPr>
      <w:r>
        <w:t>CE (Customer Edge) — routeur du client, à la frontière du réseau ISP.</w:t>
      </w:r>
    </w:p>
    <w:p w14:paraId="779A48D1" w14:textId="77777777" w:rsidR="00B10791" w:rsidRDefault="00000000">
      <w:pPr>
        <w:pStyle w:val="Paragraphedeliste"/>
        <w:numPr>
          <w:ilvl w:val="0"/>
          <w:numId w:val="1"/>
        </w:numPr>
        <w:spacing w:after="80"/>
      </w:pPr>
      <w:r>
        <w:t xml:space="preserve">PE (Provider Edge) — routeur de bordure de l'ISP, connecté aux CE, qui porte les </w:t>
      </w:r>
      <w:proofErr w:type="spellStart"/>
      <w:r>
        <w:t>VRFs</w:t>
      </w:r>
      <w:proofErr w:type="spellEnd"/>
      <w:r>
        <w:t xml:space="preserve"> et les sessions MP-BGP.</w:t>
      </w:r>
    </w:p>
    <w:p w14:paraId="74E874A8" w14:textId="77777777" w:rsidR="00B10791" w:rsidRDefault="00000000">
      <w:pPr>
        <w:pStyle w:val="Paragraphedeliste"/>
        <w:numPr>
          <w:ilvl w:val="0"/>
          <w:numId w:val="1"/>
        </w:numPr>
        <w:spacing w:after="80"/>
      </w:pPr>
      <w:r>
        <w:t>P (Provider) — routeur du cœur de l'ISP, purement MPLS, qui ne connaît aucune route client.</w:t>
      </w:r>
    </w:p>
    <w:p w14:paraId="14D03F41" w14:textId="77777777" w:rsidR="00B10791" w:rsidRDefault="00000000">
      <w:pPr>
        <w:spacing w:after="160" w:line="276" w:lineRule="auto"/>
      </w:pPr>
      <w:r>
        <w:t xml:space="preserve">Ce modèle permet à un ISP d'héberger plusieurs clients sur une infrastructure partagée, tout en garantissant une isolation totale de leurs plans de routage respectifs — y compris lorsque deux clients utilisent le même espace d'adressage IP privé. Les mécanismes qui rendent cette isolation possible (VRF, Route </w:t>
      </w:r>
      <w:proofErr w:type="spellStart"/>
      <w:r>
        <w:t>Distinguisher</w:t>
      </w:r>
      <w:proofErr w:type="spellEnd"/>
      <w:r>
        <w:t>, Route Target) sont développés en détail dans les sections consacrées à VRF et à MP-BGP VPNv4.</w:t>
      </w:r>
    </w:p>
    <w:p w14:paraId="5F213B18" w14:textId="2B99C371" w:rsidR="00B10791" w:rsidRDefault="00B10791">
      <w:pPr>
        <w:spacing w:after="160" w:line="276" w:lineRule="auto"/>
      </w:pPr>
    </w:p>
    <w:sectPr w:rsidR="00B10791">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C2D1C"/>
    <w:multiLevelType w:val="multilevel"/>
    <w:tmpl w:val="701E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95475B"/>
    <w:multiLevelType w:val="hybridMultilevel"/>
    <w:tmpl w:val="5282A19E"/>
    <w:lvl w:ilvl="0" w:tplc="B9905FCA">
      <w:start w:val="1"/>
      <w:numFmt w:val="bullet"/>
      <w:lvlText w:val="●"/>
      <w:lvlJc w:val="left"/>
      <w:pPr>
        <w:ind w:left="720" w:hanging="360"/>
      </w:pPr>
    </w:lvl>
    <w:lvl w:ilvl="1" w:tplc="22CAF58A">
      <w:start w:val="1"/>
      <w:numFmt w:val="bullet"/>
      <w:lvlText w:val="○"/>
      <w:lvlJc w:val="left"/>
      <w:pPr>
        <w:ind w:left="1440" w:hanging="360"/>
      </w:pPr>
    </w:lvl>
    <w:lvl w:ilvl="2" w:tplc="4A3A0904">
      <w:start w:val="1"/>
      <w:numFmt w:val="bullet"/>
      <w:lvlText w:val="■"/>
      <w:lvlJc w:val="left"/>
      <w:pPr>
        <w:ind w:left="2160" w:hanging="360"/>
      </w:pPr>
    </w:lvl>
    <w:lvl w:ilvl="3" w:tplc="1D023902">
      <w:start w:val="1"/>
      <w:numFmt w:val="bullet"/>
      <w:lvlText w:val="●"/>
      <w:lvlJc w:val="left"/>
      <w:pPr>
        <w:ind w:left="2880" w:hanging="360"/>
      </w:pPr>
    </w:lvl>
    <w:lvl w:ilvl="4" w:tplc="6D1C3988">
      <w:start w:val="1"/>
      <w:numFmt w:val="bullet"/>
      <w:lvlText w:val="○"/>
      <w:lvlJc w:val="left"/>
      <w:pPr>
        <w:ind w:left="3600" w:hanging="360"/>
      </w:pPr>
    </w:lvl>
    <w:lvl w:ilvl="5" w:tplc="6DD26B88">
      <w:start w:val="1"/>
      <w:numFmt w:val="bullet"/>
      <w:lvlText w:val="■"/>
      <w:lvlJc w:val="left"/>
      <w:pPr>
        <w:ind w:left="4320" w:hanging="360"/>
      </w:pPr>
    </w:lvl>
    <w:lvl w:ilvl="6" w:tplc="D8C21C82">
      <w:start w:val="1"/>
      <w:numFmt w:val="bullet"/>
      <w:lvlText w:val="●"/>
      <w:lvlJc w:val="left"/>
      <w:pPr>
        <w:ind w:left="5040" w:hanging="360"/>
      </w:pPr>
    </w:lvl>
    <w:lvl w:ilvl="7" w:tplc="F48C38FC">
      <w:start w:val="1"/>
      <w:numFmt w:val="bullet"/>
      <w:lvlText w:val="●"/>
      <w:lvlJc w:val="left"/>
      <w:pPr>
        <w:ind w:left="5760" w:hanging="360"/>
      </w:pPr>
    </w:lvl>
    <w:lvl w:ilvl="8" w:tplc="AE100ACC">
      <w:start w:val="1"/>
      <w:numFmt w:val="bullet"/>
      <w:lvlText w:val="●"/>
      <w:lvlJc w:val="left"/>
      <w:pPr>
        <w:ind w:left="6480" w:hanging="360"/>
      </w:pPr>
    </w:lvl>
  </w:abstractNum>
  <w:num w:numId="1" w16cid:durableId="1207568622">
    <w:abstractNumId w:val="1"/>
    <w:lvlOverride w:ilvl="0">
      <w:startOverride w:val="1"/>
    </w:lvlOverride>
  </w:num>
  <w:num w:numId="2" w16cid:durableId="819004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791"/>
    <w:rsid w:val="00032D95"/>
    <w:rsid w:val="007E3868"/>
    <w:rsid w:val="00A77B12"/>
    <w:rsid w:val="00B10791"/>
    <w:rsid w:val="00CB43F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9D4F1"/>
  <w15:docId w15:val="{985F878B-AA1A-49DD-84EC-742C04AF5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5</Pages>
  <Words>1816</Words>
  <Characters>9992</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yessine fehri</cp:lastModifiedBy>
  <cp:revision>5</cp:revision>
  <dcterms:created xsi:type="dcterms:W3CDTF">2026-07-02T15:00:00Z</dcterms:created>
  <dcterms:modified xsi:type="dcterms:W3CDTF">2026-07-07T19:24:00Z</dcterms:modified>
</cp:coreProperties>
</file>