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4"/>
        </w:rPr>
        <w:t>Projet Commodities 2026</w:t>
        <w:br/>
        <w:t>Stratégies sur l'indice S&amp;P GSCI ER</w:t>
      </w:r>
    </w:p>
    <w:p/>
    <w:p>
      <w:pPr>
        <w:jc w:val="center"/>
      </w:pPr>
      <w:r>
        <w:rPr>
          <w:sz w:val="26"/>
        </w:rPr>
        <w:t>Université Paris Dauphine — Master Finance</w:t>
        <w:br/>
      </w:r>
      <w:r>
        <w:rPr>
          <w:sz w:val="24"/>
        </w:rPr>
        <w:t>Période analysée : 31/12/1969 – 31/12/2025</w:t>
        <w:br/>
      </w:r>
      <w:r>
        <w:rPr>
          <w:sz w:val="24"/>
        </w:rPr>
        <w:t>Auteurs : Yassine Mannai, Issam Fradi &amp; Antonin Bezard</w:t>
      </w:r>
    </w:p>
    <w:p/>
    <w:p>
      <w:pPr>
        <w:jc w:val="center"/>
      </w:pPr>
      <w:r>
        <w:rPr>
          <w:i/>
        </w:rPr>
        <w:t>Mai 2026</w:t>
      </w:r>
    </w:p>
    <w:p>
      <w:r>
        <w:br w:type="page"/>
      </w:r>
    </w:p>
    <w:p>
      <w:pPr>
        <w:pStyle w:val="Heading1"/>
      </w:pPr>
      <w:r>
        <w:rPr>
          <w:color w:val="1F4E79"/>
        </w:rPr>
        <w:t>Q1 — Données historiques des 3 indices S&amp;P GSCI</w:t>
      </w:r>
    </w:p>
    <w:p>
      <w:pPr>
        <w:spacing w:after="120"/>
      </w:pPr>
      <w:r>
        <w:t>Les données journalières ont été récupérées via l'API Bloomberg (blpapi) sur la période 31/12/1969 – 31/12/2025, puis exportées dans un fichier Excel.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pPr>
              <w:jc w:val="center"/>
            </w:pPr>
            <w:r>
              <w:rPr>
                <w:b/>
                <w:color w:val="FFFFFF"/>
                <w:sz w:val="20"/>
              </w:rPr>
              <w:t>Indice</w:t>
            </w:r>
          </w:p>
        </w:tc>
        <w:tc>
          <w:tcPr>
            <w:tcW w:type="dxa" w:w="4320"/>
            <w:shd w:val="clear" w:color="auto" w:fill="1F4E79"/>
          </w:tcPr>
          <w:p>
            <w:pPr>
              <w:jc w:val="center"/>
            </w:pPr>
            <w:r>
              <w:rPr>
                <w:b/>
                <w:color w:val="FFFFFF"/>
                <w:sz w:val="20"/>
              </w:rPr>
              <w:t>Ticker Bloomberg</w:t>
            </w:r>
          </w:p>
        </w:tc>
      </w:tr>
      <w:tr>
        <w:tc>
          <w:tcPr>
            <w:tcW w:type="dxa" w:w="4320"/>
          </w:tcPr>
          <w:p>
            <w:r>
              <w:t>S&amp;P GSCI Spot</w:t>
            </w:r>
          </w:p>
        </w:tc>
        <w:tc>
          <w:tcPr>
            <w:tcW w:type="dxa" w:w="4320"/>
          </w:tcPr>
          <w:p>
            <w:r>
              <w:t>SPGSCI Index</w:t>
            </w:r>
          </w:p>
        </w:tc>
      </w:tr>
      <w:tr>
        <w:tc>
          <w:tcPr>
            <w:tcW w:type="dxa" w:w="4320"/>
          </w:tcPr>
          <w:p>
            <w:r>
              <w:t>S&amp;P GSCI ER (Excess Return)</w:t>
            </w:r>
          </w:p>
        </w:tc>
        <w:tc>
          <w:tcPr>
            <w:tcW w:type="dxa" w:w="4320"/>
          </w:tcPr>
          <w:p>
            <w:r>
              <w:t>SPGSCIP Index</w:t>
            </w:r>
          </w:p>
        </w:tc>
      </w:tr>
      <w:tr>
        <w:tc>
          <w:tcPr>
            <w:tcW w:type="dxa" w:w="4320"/>
          </w:tcPr>
          <w:p>
            <w:r>
              <w:t>S&amp;P GSCI TR (Total Return)</w:t>
            </w:r>
          </w:p>
        </w:tc>
        <w:tc>
          <w:tcPr>
            <w:tcW w:type="dxa" w:w="4320"/>
          </w:tcPr>
          <w:p>
            <w:r>
              <w:t>SPGSCITR Index</w:t>
            </w:r>
          </w:p>
        </w:tc>
      </w:tr>
    </w:tbl>
    <w:p/>
    <w:p>
      <w:pPr>
        <w:spacing w:after="120"/>
      </w:pPr>
      <w:r>
        <w:t>Le graphique ci-dessous présente les 3 indices rebasés à 100 au 31/12/1969.</w:t>
      </w:r>
    </w:p>
    <w:p>
      <w:pPr>
        <w:jc w:val="center"/>
      </w:pPr>
      <w:r>
        <w:drawing>
          <wp:inline xmlns:a="http://schemas.openxmlformats.org/drawingml/2006/main" xmlns:pic="http://schemas.openxmlformats.org/drawingml/2006/picture">
            <wp:extent cx="5760000" cy="2520000"/>
            <wp:docPr id="1" name="Picture 1"/>
            <wp:cNvGraphicFramePr>
              <a:graphicFrameLocks noChangeAspect="1"/>
            </wp:cNvGraphicFramePr>
            <a:graphic>
              <a:graphicData uri="http://schemas.openxmlformats.org/drawingml/2006/picture">
                <pic:pic>
                  <pic:nvPicPr>
                    <pic:cNvPr id="0" name="Q1_indices.png"/>
                    <pic:cNvPicPr/>
                  </pic:nvPicPr>
                  <pic:blipFill>
                    <a:blip r:embed="rId9"/>
                    <a:stretch>
                      <a:fillRect/>
                    </a:stretch>
                  </pic:blipFill>
                  <pic:spPr>
                    <a:xfrm>
                      <a:off x="0" y="0"/>
                      <a:ext cx="5760000" cy="2520000"/>
                    </a:xfrm>
                    <a:prstGeom prst="rect"/>
                  </pic:spPr>
                </pic:pic>
              </a:graphicData>
            </a:graphic>
          </wp:inline>
        </w:drawing>
      </w:r>
    </w:p>
    <w:p>
      <w:r>
        <w:br w:type="page"/>
      </w:r>
    </w:p>
    <w:p>
      <w:pPr>
        <w:pStyle w:val="Heading1"/>
      </w:pPr>
      <w:r>
        <w:rPr>
          <w:color w:val="1F4E79"/>
        </w:rPr>
        <w:t>Q2 — Métriques de performance (1969 – 2025)</w:t>
      </w:r>
    </w:p>
    <w:p>
      <w:pPr>
        <w:spacing w:after="120"/>
      </w:pPr>
      <w:r>
        <w:t>Pour chacun des 3 indices, les métriques suivantes ont été calculées :</w:t>
      </w:r>
    </w:p>
    <w:p>
      <w:pPr>
        <w:pStyle w:val="ListBullet"/>
      </w:pPr>
      <w:r>
        <w:t>Rendement cumulé</w:t>
      </w:r>
    </w:p>
    <w:p>
      <w:pPr>
        <w:pStyle w:val="ListBullet"/>
      </w:pPr>
      <w:r>
        <w:t>Rendement actuariel (CAGR)</w:t>
      </w:r>
    </w:p>
    <w:p>
      <w:pPr>
        <w:pStyle w:val="ListBullet"/>
      </w:pPr>
      <w:r>
        <w:t>Volatilité annualisée</w:t>
      </w:r>
    </w:p>
    <w:p>
      <w:pPr>
        <w:pStyle w:val="ListBullet"/>
      </w:pPr>
      <w:r>
        <w:t>Ratio Rendement / Volatilité</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35"/>
            <w:shd w:val="clear" w:color="auto" w:fill="1F4E79"/>
          </w:tcPr>
          <w:p>
            <w:pPr>
              <w:jc w:val="center"/>
            </w:pPr>
            <w:r>
              <w:rPr>
                <w:b/>
                <w:color w:val="FFFFFF"/>
                <w:sz w:val="20"/>
              </w:rPr>
            </w:r>
          </w:p>
        </w:tc>
        <w:tc>
          <w:tcPr>
            <w:tcW w:type="dxa" w:w="2268"/>
            <w:shd w:val="clear" w:color="auto" w:fill="1F4E79"/>
          </w:tcPr>
          <w:p>
            <w:pPr>
              <w:jc w:val="center"/>
            </w:pPr>
            <w:r>
              <w:rPr>
                <w:b/>
                <w:color w:val="FFFFFF"/>
                <w:sz w:val="20"/>
              </w:rPr>
              <w:t>Rendement cumulé</w:t>
            </w:r>
          </w:p>
        </w:tc>
        <w:tc>
          <w:tcPr>
            <w:tcW w:type="dxa" w:w="2268"/>
            <w:shd w:val="clear" w:color="auto" w:fill="1F4E79"/>
          </w:tcPr>
          <w:p>
            <w:pPr>
              <w:jc w:val="center"/>
            </w:pPr>
            <w:r>
              <w:rPr>
                <w:b/>
                <w:color w:val="FFFFFF"/>
                <w:sz w:val="20"/>
              </w:rPr>
              <w:t>Rendement actuariel (CAGR)</w:t>
            </w:r>
          </w:p>
        </w:tc>
        <w:tc>
          <w:tcPr>
            <w:tcW w:type="dxa" w:w="2268"/>
            <w:shd w:val="clear" w:color="auto" w:fill="1F4E79"/>
          </w:tcPr>
          <w:p>
            <w:pPr>
              <w:jc w:val="center"/>
            </w:pPr>
            <w:r>
              <w:rPr>
                <w:b/>
                <w:color w:val="FFFFFF"/>
                <w:sz w:val="20"/>
              </w:rPr>
              <w:t>Volatilité annualisée</w:t>
            </w:r>
          </w:p>
        </w:tc>
        <w:tc>
          <w:tcPr>
            <w:tcW w:type="dxa" w:w="1984"/>
            <w:shd w:val="clear" w:color="auto" w:fill="1F4E79"/>
          </w:tcPr>
          <w:p>
            <w:pPr>
              <w:jc w:val="center"/>
            </w:pPr>
            <w:r>
              <w:rPr>
                <w:b/>
                <w:color w:val="FFFFFF"/>
                <w:sz w:val="20"/>
              </w:rPr>
              <w:t>Ratio Rdt / Vol</w:t>
            </w:r>
          </w:p>
        </w:tc>
      </w:tr>
      <w:tr>
        <w:tc>
          <w:tcPr>
            <w:tcW w:type="dxa" w:w="2835"/>
          </w:tcPr>
          <w:p>
            <w:r>
              <w:t>S&amp;P GSCI Spot</w:t>
            </w:r>
          </w:p>
        </w:tc>
        <w:tc>
          <w:tcPr>
            <w:tcW w:type="dxa" w:w="2268"/>
          </w:tcPr>
          <w:p>
            <w:pPr>
              <w:jc w:val="center"/>
            </w:pPr>
            <w:r>
              <w:t>448.5%</w:t>
            </w:r>
          </w:p>
        </w:tc>
        <w:tc>
          <w:tcPr>
            <w:tcW w:type="dxa" w:w="2268"/>
          </w:tcPr>
          <w:p>
            <w:pPr>
              <w:jc w:val="center"/>
            </w:pPr>
            <w:r>
              <w:t>3.09%</w:t>
            </w:r>
          </w:p>
        </w:tc>
        <w:tc>
          <w:tcPr>
            <w:tcW w:type="dxa" w:w="2268"/>
          </w:tcPr>
          <w:p>
            <w:pPr>
              <w:jc w:val="center"/>
            </w:pPr>
            <w:r>
              <w:t>19.16%</w:t>
            </w:r>
          </w:p>
        </w:tc>
        <w:tc>
          <w:tcPr>
            <w:tcW w:type="dxa" w:w="1984"/>
          </w:tcPr>
          <w:p>
            <w:pPr>
              <w:jc w:val="center"/>
            </w:pPr>
            <w:r>
              <w:t>0.1610</w:t>
            </w:r>
          </w:p>
        </w:tc>
      </w:tr>
      <w:tr>
        <w:tc>
          <w:tcPr>
            <w:tcW w:type="dxa" w:w="2835"/>
            <w:shd w:val="clear" w:color="auto" w:fill="DEEAF1"/>
          </w:tcPr>
          <w:p>
            <w:r>
              <w:t>S&amp;P GSCI ER</w:t>
            </w:r>
          </w:p>
        </w:tc>
        <w:tc>
          <w:tcPr>
            <w:tcW w:type="dxa" w:w="2268"/>
            <w:shd w:val="clear" w:color="auto" w:fill="DEEAF1"/>
          </w:tcPr>
          <w:p>
            <w:pPr>
              <w:jc w:val="center"/>
            </w:pPr>
            <w:r>
              <w:t>203.4%</w:t>
            </w:r>
          </w:p>
        </w:tc>
        <w:tc>
          <w:tcPr>
            <w:tcW w:type="dxa" w:w="2268"/>
            <w:shd w:val="clear" w:color="auto" w:fill="DEEAF1"/>
          </w:tcPr>
          <w:p>
            <w:pPr>
              <w:jc w:val="center"/>
            </w:pPr>
            <w:r>
              <w:t>2.00%</w:t>
            </w:r>
          </w:p>
        </w:tc>
        <w:tc>
          <w:tcPr>
            <w:tcW w:type="dxa" w:w="2268"/>
            <w:shd w:val="clear" w:color="auto" w:fill="DEEAF1"/>
          </w:tcPr>
          <w:p>
            <w:pPr>
              <w:jc w:val="center"/>
            </w:pPr>
            <w:r>
              <w:t>19.12%</w:t>
            </w:r>
          </w:p>
        </w:tc>
        <w:tc>
          <w:tcPr>
            <w:tcW w:type="dxa" w:w="1984"/>
            <w:shd w:val="clear" w:color="auto" w:fill="DEEAF1"/>
          </w:tcPr>
          <w:p>
            <w:pPr>
              <w:jc w:val="center"/>
            </w:pPr>
            <w:r>
              <w:t>0.1047</w:t>
            </w:r>
          </w:p>
        </w:tc>
      </w:tr>
      <w:tr>
        <w:tc>
          <w:tcPr>
            <w:tcW w:type="dxa" w:w="2835"/>
          </w:tcPr>
          <w:p>
            <w:r>
              <w:t>S&amp;P GSCI TR</w:t>
            </w:r>
          </w:p>
        </w:tc>
        <w:tc>
          <w:tcPr>
            <w:tcW w:type="dxa" w:w="2268"/>
          </w:tcPr>
          <w:p>
            <w:pPr>
              <w:jc w:val="center"/>
            </w:pPr>
            <w:r>
              <w:t>3816.2%</w:t>
            </w:r>
          </w:p>
        </w:tc>
        <w:tc>
          <w:tcPr>
            <w:tcW w:type="dxa" w:w="2268"/>
          </w:tcPr>
          <w:p>
            <w:pPr>
              <w:jc w:val="center"/>
            </w:pPr>
            <w:r>
              <w:t>6.77%</w:t>
            </w:r>
          </w:p>
        </w:tc>
        <w:tc>
          <w:tcPr>
            <w:tcW w:type="dxa" w:w="2268"/>
          </w:tcPr>
          <w:p>
            <w:pPr>
              <w:jc w:val="center"/>
            </w:pPr>
            <w:r>
              <w:t>19.12%</w:t>
            </w:r>
          </w:p>
        </w:tc>
        <w:tc>
          <w:tcPr>
            <w:tcW w:type="dxa" w:w="1984"/>
          </w:tcPr>
          <w:p>
            <w:pPr>
              <w:jc w:val="center"/>
            </w:pPr>
            <w:r>
              <w:t>0.3541</w:t>
            </w:r>
          </w:p>
        </w:tc>
      </w:tr>
    </w:tbl>
    <w:p>
      <w:r>
        <w:br w:type="page"/>
      </w:r>
    </w:p>
    <w:p>
      <w:pPr>
        <w:pStyle w:val="Heading1"/>
      </w:pPr>
      <w:r>
        <w:rPr>
          <w:color w:val="1F4E79"/>
        </w:rPr>
        <w:t>Q3 — Explication des différences de rendement</w:t>
      </w:r>
    </w:p>
    <w:p>
      <w:pPr>
        <w:pStyle w:val="Heading2"/>
      </w:pPr>
      <w:r>
        <w:rPr>
          <w:color w:val="2E75B6"/>
        </w:rPr>
        <w:t>Spot vs ER (Excess Return)</w:t>
      </w:r>
    </w:p>
    <w:p>
      <w:pPr>
        <w:spacing w:after="120"/>
      </w:pPr>
      <w:r>
        <w:t>L'indice Spot reflète la variation du prix au comptant. L'indice ER intègre en plus le roll yield (coût du renouvellement des contrats futures). En contango (situation majoritaire sur longue période), le roll yield est négatif, ce qui explique que le GSCI ER sous-performe structurellement le GSCI Spot.</w:t>
      </w:r>
    </w:p>
    <w:p>
      <w:pPr>
        <w:pStyle w:val="Heading2"/>
      </w:pPr>
      <w:r>
        <w:rPr>
          <w:color w:val="2E75B6"/>
        </w:rPr>
        <w:t>ER vs TR (Total Return)</w:t>
      </w:r>
    </w:p>
    <w:p>
      <w:pPr>
        <w:spacing w:after="120"/>
      </w:pPr>
      <w:r>
        <w:t>L'indice TR ajoute à l'ER le rendement du collatéral (intérêts sur les T-bills US). Historiquement ~4-5% par an, ce qui explique la surperformance du TR sur longue période.</w:t>
      </w:r>
    </w:p>
    <w:p>
      <w:r>
        <w:br w:type="page"/>
      </w:r>
    </w:p>
    <w:p>
      <w:pPr>
        <w:pStyle w:val="Heading1"/>
      </w:pPr>
      <w:r>
        <w:rPr>
          <w:color w:val="1F4E79"/>
        </w:rPr>
        <w:t>Q4 &amp; Q5 — Moyennes Mobiles</w:t>
      </w:r>
    </w:p>
    <w:p>
      <w:pPr>
        <w:spacing w:after="120"/>
      </w:pPr>
      <w:r>
        <w:t>La moyenne mobile simple (MMS) sur n jours est : MA_n(t) = (1/n) × Σ P(t−i)</w:t>
      </w:r>
    </w:p>
    <w:p>
      <w:pPr>
        <w:spacing w:after="120"/>
      </w:pPr>
      <w:r>
        <w:t>5 MAs calculées : 25, 50, 100, 150 et 200 jours.</w:t>
      </w:r>
    </w:p>
    <w:p>
      <w:pPr>
        <w:jc w:val="center"/>
      </w:pPr>
      <w:r>
        <w:drawing>
          <wp:inline xmlns:a="http://schemas.openxmlformats.org/drawingml/2006/main" xmlns:pic="http://schemas.openxmlformats.org/drawingml/2006/picture">
            <wp:extent cx="5760000" cy="2520000"/>
            <wp:docPr id="2" name="Picture 2"/>
            <wp:cNvGraphicFramePr>
              <a:graphicFrameLocks noChangeAspect="1"/>
            </wp:cNvGraphicFramePr>
            <a:graphic>
              <a:graphicData uri="http://schemas.openxmlformats.org/drawingml/2006/picture">
                <pic:pic>
                  <pic:nvPicPr>
                    <pic:cNvPr id="0" name="Q5_moving_averages.png"/>
                    <pic:cNvPicPr/>
                  </pic:nvPicPr>
                  <pic:blipFill>
                    <a:blip r:embed="rId10"/>
                    <a:stretch>
                      <a:fillRect/>
                    </a:stretch>
                  </pic:blipFill>
                  <pic:spPr>
                    <a:xfrm>
                      <a:off x="0" y="0"/>
                      <a:ext cx="5760000" cy="2520000"/>
                    </a:xfrm>
                    <a:prstGeom prst="rect"/>
                  </pic:spPr>
                </pic:pic>
              </a:graphicData>
            </a:graphic>
          </wp:inline>
        </w:drawing>
      </w:r>
    </w:p>
    <w:p>
      <w:r>
        <w:br w:type="page"/>
      </w:r>
    </w:p>
    <w:p>
      <w:pPr>
        <w:pStyle w:val="Heading1"/>
      </w:pPr>
      <w:r>
        <w:rPr>
          <w:color w:val="1F4E79"/>
        </w:rPr>
        <w:t>Q6 — Backtest des 5 stratégies Moyenne Mobile</w:t>
      </w:r>
    </w:p>
    <w:p>
      <w:pPr>
        <w:spacing w:after="120"/>
      </w:pPr>
      <w:r>
        <w:t>Signal achat : P(t) &gt; MA_n(t). Signal neutre sinon. Décalage d'un jour pour éviter le look-ahead bias.</w:t>
      </w:r>
    </w:p>
    <w:p>
      <w:pPr>
        <w:pStyle w:val="Heading2"/>
      </w:pPr>
      <w:r>
        <w:rPr>
          <w:color w:val="2E75B6"/>
        </w:rPr>
        <w:t>Résultats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35"/>
            <w:shd w:val="clear" w:color="auto" w:fill="1F4E79"/>
          </w:tcPr>
          <w:p>
            <w:pPr>
              <w:jc w:val="center"/>
            </w:pPr>
            <w:r>
              <w:rPr>
                <w:b/>
                <w:color w:val="FFFFFF"/>
                <w:sz w:val="20"/>
              </w:rPr>
            </w:r>
          </w:p>
        </w:tc>
        <w:tc>
          <w:tcPr>
            <w:tcW w:type="dxa" w:w="2268"/>
            <w:shd w:val="clear" w:color="auto" w:fill="1F4E79"/>
          </w:tcPr>
          <w:p>
            <w:pPr>
              <w:jc w:val="center"/>
            </w:pPr>
            <w:r>
              <w:rPr>
                <w:b/>
                <w:color w:val="FFFFFF"/>
                <w:sz w:val="20"/>
              </w:rPr>
              <w:t>Rendement cumulé</w:t>
            </w:r>
          </w:p>
        </w:tc>
        <w:tc>
          <w:tcPr>
            <w:tcW w:type="dxa" w:w="2268"/>
            <w:shd w:val="clear" w:color="auto" w:fill="1F4E79"/>
          </w:tcPr>
          <w:p>
            <w:pPr>
              <w:jc w:val="center"/>
            </w:pPr>
            <w:r>
              <w:rPr>
                <w:b/>
                <w:color w:val="FFFFFF"/>
                <w:sz w:val="20"/>
              </w:rPr>
              <w:t>Rendement actuariel (CAGR)</w:t>
            </w:r>
          </w:p>
        </w:tc>
        <w:tc>
          <w:tcPr>
            <w:tcW w:type="dxa" w:w="2268"/>
            <w:shd w:val="clear" w:color="auto" w:fill="1F4E79"/>
          </w:tcPr>
          <w:p>
            <w:pPr>
              <w:jc w:val="center"/>
            </w:pPr>
            <w:r>
              <w:rPr>
                <w:b/>
                <w:color w:val="FFFFFF"/>
                <w:sz w:val="20"/>
              </w:rPr>
              <w:t>Volatilité annualisée</w:t>
            </w:r>
          </w:p>
        </w:tc>
        <w:tc>
          <w:tcPr>
            <w:tcW w:type="dxa" w:w="1984"/>
            <w:shd w:val="clear" w:color="auto" w:fill="1F4E79"/>
          </w:tcPr>
          <w:p>
            <w:pPr>
              <w:jc w:val="center"/>
            </w:pPr>
            <w:r>
              <w:rPr>
                <w:b/>
                <w:color w:val="FFFFFF"/>
                <w:sz w:val="20"/>
              </w:rPr>
              <w:t>Ratio Rdt / Vol</w:t>
            </w:r>
          </w:p>
        </w:tc>
      </w:tr>
      <w:tr>
        <w:tc>
          <w:tcPr>
            <w:tcW w:type="dxa" w:w="2835"/>
          </w:tcPr>
          <w:p>
            <w:r>
              <w:t>GSCI ER (Buy &amp; Hold)</w:t>
            </w:r>
          </w:p>
        </w:tc>
        <w:tc>
          <w:tcPr>
            <w:tcW w:type="dxa" w:w="2268"/>
          </w:tcPr>
          <w:p>
            <w:pPr>
              <w:jc w:val="center"/>
            </w:pPr>
            <w:r>
              <w:t>203.4%</w:t>
            </w:r>
          </w:p>
        </w:tc>
        <w:tc>
          <w:tcPr>
            <w:tcW w:type="dxa" w:w="2268"/>
          </w:tcPr>
          <w:p>
            <w:pPr>
              <w:jc w:val="center"/>
            </w:pPr>
            <w:r>
              <w:t>2.00%</w:t>
            </w:r>
          </w:p>
        </w:tc>
        <w:tc>
          <w:tcPr>
            <w:tcW w:type="dxa" w:w="2268"/>
          </w:tcPr>
          <w:p>
            <w:pPr>
              <w:jc w:val="center"/>
            </w:pPr>
            <w:r>
              <w:t>19.12%</w:t>
            </w:r>
          </w:p>
        </w:tc>
        <w:tc>
          <w:tcPr>
            <w:tcW w:type="dxa" w:w="1984"/>
          </w:tcPr>
          <w:p>
            <w:pPr>
              <w:jc w:val="center"/>
            </w:pPr>
            <w:r>
              <w:t>0.1047</w:t>
            </w:r>
          </w:p>
        </w:tc>
      </w:tr>
      <w:tr>
        <w:tc>
          <w:tcPr>
            <w:tcW w:type="dxa" w:w="2835"/>
            <w:shd w:val="clear" w:color="auto" w:fill="DEEAF1"/>
          </w:tcPr>
          <w:p>
            <w:r>
              <w:t>Stratégie MA25</w:t>
            </w:r>
          </w:p>
        </w:tc>
        <w:tc>
          <w:tcPr>
            <w:tcW w:type="dxa" w:w="2268"/>
            <w:shd w:val="clear" w:color="auto" w:fill="DEEAF1"/>
          </w:tcPr>
          <w:p>
            <w:pPr>
              <w:jc w:val="center"/>
            </w:pPr>
            <w:r>
              <w:t>1561.2%</w:t>
            </w:r>
          </w:p>
        </w:tc>
        <w:tc>
          <w:tcPr>
            <w:tcW w:type="dxa" w:w="2268"/>
            <w:shd w:val="clear" w:color="auto" w:fill="DEEAF1"/>
          </w:tcPr>
          <w:p>
            <w:pPr>
              <w:jc w:val="center"/>
            </w:pPr>
            <w:r>
              <w:t>5.15%</w:t>
            </w:r>
          </w:p>
        </w:tc>
        <w:tc>
          <w:tcPr>
            <w:tcW w:type="dxa" w:w="2268"/>
            <w:shd w:val="clear" w:color="auto" w:fill="DEEAF1"/>
          </w:tcPr>
          <w:p>
            <w:pPr>
              <w:jc w:val="center"/>
            </w:pPr>
            <w:r>
              <w:t>18.25%</w:t>
            </w:r>
          </w:p>
        </w:tc>
        <w:tc>
          <w:tcPr>
            <w:tcW w:type="dxa" w:w="1984"/>
            <w:shd w:val="clear" w:color="auto" w:fill="DEEAF1"/>
          </w:tcPr>
          <w:p>
            <w:pPr>
              <w:jc w:val="center"/>
            </w:pPr>
            <w:r>
              <w:t>0.2821</w:t>
            </w:r>
          </w:p>
        </w:tc>
      </w:tr>
      <w:tr>
        <w:tc>
          <w:tcPr>
            <w:tcW w:type="dxa" w:w="2835"/>
          </w:tcPr>
          <w:p>
            <w:r>
              <w:t>Stratégie MA50</w:t>
            </w:r>
          </w:p>
        </w:tc>
        <w:tc>
          <w:tcPr>
            <w:tcW w:type="dxa" w:w="2268"/>
          </w:tcPr>
          <w:p>
            <w:pPr>
              <w:jc w:val="center"/>
            </w:pPr>
            <w:r>
              <w:t>785.3%</w:t>
            </w:r>
          </w:p>
        </w:tc>
        <w:tc>
          <w:tcPr>
            <w:tcW w:type="dxa" w:w="2268"/>
          </w:tcPr>
          <w:p>
            <w:pPr>
              <w:jc w:val="center"/>
            </w:pPr>
            <w:r>
              <w:t>3.97%</w:t>
            </w:r>
          </w:p>
        </w:tc>
        <w:tc>
          <w:tcPr>
            <w:tcW w:type="dxa" w:w="2268"/>
          </w:tcPr>
          <w:p>
            <w:pPr>
              <w:jc w:val="center"/>
            </w:pPr>
            <w:r>
              <w:t>18.13%</w:t>
            </w:r>
          </w:p>
        </w:tc>
        <w:tc>
          <w:tcPr>
            <w:tcW w:type="dxa" w:w="1984"/>
          </w:tcPr>
          <w:p>
            <w:pPr>
              <w:jc w:val="center"/>
            </w:pPr>
            <w:r>
              <w:t>0.2190</w:t>
            </w:r>
          </w:p>
        </w:tc>
      </w:tr>
      <w:tr>
        <w:tc>
          <w:tcPr>
            <w:tcW w:type="dxa" w:w="2835"/>
            <w:shd w:val="clear" w:color="auto" w:fill="DEEAF1"/>
          </w:tcPr>
          <w:p>
            <w:r>
              <w:t>Stratégie MA100</w:t>
            </w:r>
          </w:p>
        </w:tc>
        <w:tc>
          <w:tcPr>
            <w:tcW w:type="dxa" w:w="2268"/>
            <w:shd w:val="clear" w:color="auto" w:fill="DEEAF1"/>
          </w:tcPr>
          <w:p>
            <w:pPr>
              <w:jc w:val="center"/>
            </w:pPr>
            <w:r>
              <w:t>1622.9%</w:t>
            </w:r>
          </w:p>
        </w:tc>
        <w:tc>
          <w:tcPr>
            <w:tcW w:type="dxa" w:w="2268"/>
            <w:shd w:val="clear" w:color="auto" w:fill="DEEAF1"/>
          </w:tcPr>
          <w:p>
            <w:pPr>
              <w:jc w:val="center"/>
            </w:pPr>
            <w:r>
              <w:t>5.22%</w:t>
            </w:r>
          </w:p>
        </w:tc>
        <w:tc>
          <w:tcPr>
            <w:tcW w:type="dxa" w:w="2268"/>
            <w:shd w:val="clear" w:color="auto" w:fill="DEEAF1"/>
          </w:tcPr>
          <w:p>
            <w:pPr>
              <w:jc w:val="center"/>
            </w:pPr>
            <w:r>
              <w:t>18.26%</w:t>
            </w:r>
          </w:p>
        </w:tc>
        <w:tc>
          <w:tcPr>
            <w:tcW w:type="dxa" w:w="1984"/>
            <w:shd w:val="clear" w:color="auto" w:fill="DEEAF1"/>
          </w:tcPr>
          <w:p>
            <w:pPr>
              <w:jc w:val="center"/>
            </w:pPr>
            <w:r>
              <w:t>0.2856</w:t>
            </w:r>
          </w:p>
        </w:tc>
      </w:tr>
      <w:tr>
        <w:tc>
          <w:tcPr>
            <w:tcW w:type="dxa" w:w="2835"/>
          </w:tcPr>
          <w:p>
            <w:r>
              <w:t>Stratégie MA150</w:t>
            </w:r>
          </w:p>
        </w:tc>
        <w:tc>
          <w:tcPr>
            <w:tcW w:type="dxa" w:w="2268"/>
          </w:tcPr>
          <w:p>
            <w:pPr>
              <w:jc w:val="center"/>
            </w:pPr>
            <w:r>
              <w:t>1235.9%</w:t>
            </w:r>
          </w:p>
        </w:tc>
        <w:tc>
          <w:tcPr>
            <w:tcW w:type="dxa" w:w="2268"/>
          </w:tcPr>
          <w:p>
            <w:pPr>
              <w:jc w:val="center"/>
            </w:pPr>
            <w:r>
              <w:t>4.74%</w:t>
            </w:r>
          </w:p>
        </w:tc>
        <w:tc>
          <w:tcPr>
            <w:tcW w:type="dxa" w:w="2268"/>
          </w:tcPr>
          <w:p>
            <w:pPr>
              <w:jc w:val="center"/>
            </w:pPr>
            <w:r>
              <w:t>18.72%</w:t>
            </w:r>
          </w:p>
        </w:tc>
        <w:tc>
          <w:tcPr>
            <w:tcW w:type="dxa" w:w="1984"/>
          </w:tcPr>
          <w:p>
            <w:pPr>
              <w:jc w:val="center"/>
            </w:pPr>
            <w:r>
              <w:t>0.2532</w:t>
            </w:r>
          </w:p>
        </w:tc>
      </w:tr>
      <w:tr>
        <w:tc>
          <w:tcPr>
            <w:tcW w:type="dxa" w:w="2835"/>
            <w:shd w:val="clear" w:color="auto" w:fill="DEEAF1"/>
          </w:tcPr>
          <w:p>
            <w:r>
              <w:t>Stratégie MA200</w:t>
            </w:r>
          </w:p>
        </w:tc>
        <w:tc>
          <w:tcPr>
            <w:tcW w:type="dxa" w:w="2268"/>
            <w:shd w:val="clear" w:color="auto" w:fill="DEEAF1"/>
          </w:tcPr>
          <w:p>
            <w:pPr>
              <w:jc w:val="center"/>
            </w:pPr>
            <w:r>
              <w:t>725.3%</w:t>
            </w:r>
          </w:p>
        </w:tc>
        <w:tc>
          <w:tcPr>
            <w:tcW w:type="dxa" w:w="2268"/>
            <w:shd w:val="clear" w:color="auto" w:fill="DEEAF1"/>
          </w:tcPr>
          <w:p>
            <w:pPr>
              <w:jc w:val="center"/>
            </w:pPr>
            <w:r>
              <w:t>3.84%</w:t>
            </w:r>
          </w:p>
        </w:tc>
        <w:tc>
          <w:tcPr>
            <w:tcW w:type="dxa" w:w="2268"/>
            <w:shd w:val="clear" w:color="auto" w:fill="DEEAF1"/>
          </w:tcPr>
          <w:p>
            <w:pPr>
              <w:jc w:val="center"/>
            </w:pPr>
            <w:r>
              <w:t>18.84%</w:t>
            </w:r>
          </w:p>
        </w:tc>
        <w:tc>
          <w:tcPr>
            <w:tcW w:type="dxa" w:w="1984"/>
            <w:shd w:val="clear" w:color="auto" w:fill="DEEAF1"/>
          </w:tcPr>
          <w:p>
            <w:pPr>
              <w:jc w:val="center"/>
            </w:pPr>
            <w:r>
              <w:t>0.2039</w:t>
            </w:r>
          </w:p>
        </w:tc>
      </w:tr>
    </w:tbl>
    <w:p/>
    <w:p>
      <w:pPr>
        <w:jc w:val="center"/>
      </w:pPr>
      <w:r>
        <w:drawing>
          <wp:inline xmlns:a="http://schemas.openxmlformats.org/drawingml/2006/main" xmlns:pic="http://schemas.openxmlformats.org/drawingml/2006/picture">
            <wp:extent cx="5760000" cy="2520000"/>
            <wp:docPr id="3" name="Picture 3"/>
            <wp:cNvGraphicFramePr>
              <a:graphicFrameLocks noChangeAspect="1"/>
            </wp:cNvGraphicFramePr>
            <a:graphic>
              <a:graphicData uri="http://schemas.openxmlformats.org/drawingml/2006/picture">
                <pic:pic>
                  <pic:nvPicPr>
                    <pic:cNvPr id="0" name="Q6_strategies.png"/>
                    <pic:cNvPicPr/>
                  </pic:nvPicPr>
                  <pic:blipFill>
                    <a:blip r:embed="rId11"/>
                    <a:stretch>
                      <a:fillRect/>
                    </a:stretch>
                  </pic:blipFill>
                  <pic:spPr>
                    <a:xfrm>
                      <a:off x="0" y="0"/>
                      <a:ext cx="5760000" cy="2520000"/>
                    </a:xfrm>
                    <a:prstGeom prst="rect"/>
                  </pic:spPr>
                </pic:pic>
              </a:graphicData>
            </a:graphic>
          </wp:inline>
        </w:drawing>
      </w:r>
    </w:p>
    <w:p>
      <w:r>
        <w:br w:type="page"/>
      </w:r>
    </w:p>
    <w:p>
      <w:pPr>
        <w:pStyle w:val="Heading1"/>
      </w:pPr>
      <w:r>
        <w:rPr>
          <w:color w:val="1F4E79"/>
        </w:rPr>
        <w:t>Q7 — Portefeuille équi-pondéré des 5 stratégies MA</w:t>
      </w:r>
    </w:p>
    <w:p>
      <w:pPr>
        <w:spacing w:after="120"/>
      </w:pPr>
      <w:r>
        <w:t>Combinaison des 5 stratégies avec un poids de 1/5 chacune.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pPr>
              <w:jc w:val="center"/>
            </w:pPr>
            <w:r>
              <w:rPr>
                <w:b/>
                <w:color w:val="FFFFFF"/>
                <w:sz w:val="20"/>
              </w:rPr>
              <w:t>Métrique</w:t>
            </w:r>
          </w:p>
        </w:tc>
        <w:tc>
          <w:tcPr>
            <w:tcW w:type="dxa" w:w="4320"/>
            <w:shd w:val="clear" w:color="auto" w:fill="1F4E79"/>
          </w:tcPr>
          <w:p>
            <w:pPr>
              <w:jc w:val="center"/>
            </w:pPr>
            <w:r>
              <w:rPr>
                <w:b/>
                <w:color w:val="FFFFFF"/>
                <w:sz w:val="20"/>
              </w:rPr>
              <w:t>Valeur</w:t>
            </w:r>
          </w:p>
        </w:tc>
      </w:tr>
      <w:tr>
        <w:tc>
          <w:tcPr>
            <w:tcW w:type="dxa" w:w="4320"/>
          </w:tcPr>
          <w:p>
            <w:r>
              <w:t>Rendement cumulé</w:t>
            </w:r>
          </w:p>
        </w:tc>
        <w:tc>
          <w:tcPr>
            <w:tcW w:type="dxa" w:w="4320"/>
          </w:tcPr>
          <w:p>
            <w:r>
              <w:t>1231.7%</w:t>
            </w:r>
          </w:p>
        </w:tc>
      </w:tr>
      <w:tr>
        <w:tc>
          <w:tcPr>
            <w:tcW w:type="dxa" w:w="4320"/>
          </w:tcPr>
          <w:p>
            <w:r>
              <w:t>Rendement actuariel (CAGR)</w:t>
            </w:r>
          </w:p>
        </w:tc>
        <w:tc>
          <w:tcPr>
            <w:tcW w:type="dxa" w:w="4320"/>
          </w:tcPr>
          <w:p>
            <w:r>
              <w:t>4.73%</w:t>
            </w:r>
          </w:p>
        </w:tc>
      </w:tr>
      <w:tr>
        <w:tc>
          <w:tcPr>
            <w:tcW w:type="dxa" w:w="4320"/>
          </w:tcPr>
          <w:p>
            <w:r>
              <w:t>Volatilité annualisée</w:t>
            </w:r>
          </w:p>
        </w:tc>
        <w:tc>
          <w:tcPr>
            <w:tcW w:type="dxa" w:w="4320"/>
          </w:tcPr>
          <w:p>
            <w:r>
              <w:t>14.60%</w:t>
            </w:r>
          </w:p>
        </w:tc>
      </w:tr>
      <w:tr>
        <w:tc>
          <w:tcPr>
            <w:tcW w:type="dxa" w:w="4320"/>
          </w:tcPr>
          <w:p>
            <w:r>
              <w:t>Ratio Rdt / Vol</w:t>
            </w:r>
          </w:p>
        </w:tc>
        <w:tc>
          <w:tcPr>
            <w:tcW w:type="dxa" w:w="4320"/>
          </w:tcPr>
          <w:p>
            <w:r>
              <w:t>0.3243</w:t>
            </w:r>
          </w:p>
        </w:tc>
      </w:tr>
    </w:tbl>
    <w:p/>
    <w:p>
      <w:pPr>
        <w:jc w:val="center"/>
      </w:pPr>
      <w:r>
        <w:drawing>
          <wp:inline xmlns:a="http://schemas.openxmlformats.org/drawingml/2006/main" xmlns:pic="http://schemas.openxmlformats.org/drawingml/2006/picture">
            <wp:extent cx="5760000" cy="2520000"/>
            <wp:docPr id="4" name="Picture 4"/>
            <wp:cNvGraphicFramePr>
              <a:graphicFrameLocks noChangeAspect="1"/>
            </wp:cNvGraphicFramePr>
            <a:graphic>
              <a:graphicData uri="http://schemas.openxmlformats.org/drawingml/2006/picture">
                <pic:pic>
                  <pic:nvPicPr>
                    <pic:cNvPr id="0" name="Q7_portfolio.png"/>
                    <pic:cNvPicPr/>
                  </pic:nvPicPr>
                  <pic:blipFill>
                    <a:blip r:embed="rId12"/>
                    <a:stretch>
                      <a:fillRect/>
                    </a:stretch>
                  </pic:blipFill>
                  <pic:spPr>
                    <a:xfrm>
                      <a:off x="0" y="0"/>
                      <a:ext cx="5760000" cy="2520000"/>
                    </a:xfrm>
                    <a:prstGeom prst="rect"/>
                  </pic:spPr>
                </pic:pic>
              </a:graphicData>
            </a:graphic>
          </wp:inline>
        </w:drawing>
      </w:r>
    </w:p>
    <w:p>
      <w:r>
        <w:br w:type="page"/>
      </w:r>
    </w:p>
    <w:p>
      <w:pPr>
        <w:pStyle w:val="Heading1"/>
      </w:pPr>
      <w:r>
        <w:rPr>
          <w:color w:val="1F4E79"/>
        </w:rPr>
        <w:t>Q8 — Stratégie améliorée : MA50/MA200 + Filtre RSI</w:t>
      </w:r>
    </w:p>
    <w:p>
      <w:pPr>
        <w:spacing w:after="120"/>
      </w:pPr>
      <w:r>
        <w:t>La stratégie combine deux signaux :</w:t>
      </w:r>
    </w:p>
    <w:p>
      <w:pPr>
        <w:pStyle w:val="ListNumber"/>
      </w:pPr>
      <w:r>
        <w:t>Signal MA : position longue si MA50 &gt; MA200 (Golden Cross)</w:t>
      </w:r>
    </w:p>
    <w:p>
      <w:pPr>
        <w:pStyle w:val="ListNumber"/>
      </w:pPr>
      <w:r>
        <w:t>Filtre RSI : position uniquement si 30 &lt; RSI(14) &lt; 70</w:t>
      </w:r>
    </w:p>
    <w:p>
      <w:pPr>
        <w:spacing w:after="120"/>
      </w:pPr>
      <w:r>
        <w:t>Signal final = Signal MA × Signal RSI</w:t>
      </w:r>
    </w:p>
    <w:p>
      <w:pPr>
        <w:pStyle w:val="Heading2"/>
      </w:pPr>
      <w:r>
        <w:rPr>
          <w:color w:val="2E75B6"/>
        </w:rPr>
        <w:t>Comparaison des performances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402"/>
            <w:shd w:val="clear" w:color="auto" w:fill="1F4E79"/>
          </w:tcPr>
          <w:p>
            <w:pPr>
              <w:jc w:val="center"/>
            </w:pPr>
            <w:r>
              <w:rPr>
                <w:b/>
                <w:color w:val="FFFFFF"/>
                <w:sz w:val="20"/>
              </w:rPr>
            </w:r>
          </w:p>
        </w:tc>
        <w:tc>
          <w:tcPr>
            <w:tcW w:type="dxa" w:w="2268"/>
            <w:shd w:val="clear" w:color="auto" w:fill="1F4E79"/>
          </w:tcPr>
          <w:p>
            <w:pPr>
              <w:jc w:val="center"/>
            </w:pPr>
            <w:r>
              <w:rPr>
                <w:b/>
                <w:color w:val="FFFFFF"/>
                <w:sz w:val="20"/>
              </w:rPr>
              <w:t>Rendement cumulé</w:t>
            </w:r>
          </w:p>
        </w:tc>
        <w:tc>
          <w:tcPr>
            <w:tcW w:type="dxa" w:w="2268"/>
            <w:shd w:val="clear" w:color="auto" w:fill="1F4E79"/>
          </w:tcPr>
          <w:p>
            <w:pPr>
              <w:jc w:val="center"/>
            </w:pPr>
            <w:r>
              <w:rPr>
                <w:b/>
                <w:color w:val="FFFFFF"/>
                <w:sz w:val="20"/>
              </w:rPr>
              <w:t>Rendement actuariel (CAGR)</w:t>
            </w:r>
          </w:p>
        </w:tc>
        <w:tc>
          <w:tcPr>
            <w:tcW w:type="dxa" w:w="2268"/>
            <w:shd w:val="clear" w:color="auto" w:fill="1F4E79"/>
          </w:tcPr>
          <w:p>
            <w:pPr>
              <w:jc w:val="center"/>
            </w:pPr>
            <w:r>
              <w:rPr>
                <w:b/>
                <w:color w:val="FFFFFF"/>
                <w:sz w:val="20"/>
              </w:rPr>
              <w:t>Volatilité annualisée</w:t>
            </w:r>
          </w:p>
        </w:tc>
        <w:tc>
          <w:tcPr>
            <w:tcW w:type="dxa" w:w="1984"/>
            <w:shd w:val="clear" w:color="auto" w:fill="1F4E79"/>
          </w:tcPr>
          <w:p>
            <w:pPr>
              <w:jc w:val="center"/>
            </w:pPr>
            <w:r>
              <w:rPr>
                <w:b/>
                <w:color w:val="FFFFFF"/>
                <w:sz w:val="20"/>
              </w:rPr>
              <w:t>Ratio Rdt / Vol</w:t>
            </w:r>
          </w:p>
        </w:tc>
      </w:tr>
      <w:tr>
        <w:tc>
          <w:tcPr>
            <w:tcW w:type="dxa" w:w="3402"/>
          </w:tcPr>
          <w:p>
            <w:r>
              <w:t>GSCI ER (Buy &amp; Hold)</w:t>
            </w:r>
          </w:p>
        </w:tc>
        <w:tc>
          <w:tcPr>
            <w:tcW w:type="dxa" w:w="2268"/>
          </w:tcPr>
          <w:p>
            <w:pPr>
              <w:jc w:val="center"/>
            </w:pPr>
            <w:r>
              <w:t>203.4%</w:t>
            </w:r>
          </w:p>
        </w:tc>
        <w:tc>
          <w:tcPr>
            <w:tcW w:type="dxa" w:w="2268"/>
          </w:tcPr>
          <w:p>
            <w:pPr>
              <w:jc w:val="center"/>
            </w:pPr>
            <w:r>
              <w:t>2.00%</w:t>
            </w:r>
          </w:p>
        </w:tc>
        <w:tc>
          <w:tcPr>
            <w:tcW w:type="dxa" w:w="2268"/>
          </w:tcPr>
          <w:p>
            <w:pPr>
              <w:jc w:val="center"/>
            </w:pPr>
            <w:r>
              <w:t>19.12%</w:t>
            </w:r>
          </w:p>
        </w:tc>
        <w:tc>
          <w:tcPr>
            <w:tcW w:type="dxa" w:w="1984"/>
          </w:tcPr>
          <w:p>
            <w:pPr>
              <w:jc w:val="center"/>
            </w:pPr>
            <w:r>
              <w:t>0.1047</w:t>
            </w:r>
          </w:p>
        </w:tc>
      </w:tr>
      <w:tr>
        <w:tc>
          <w:tcPr>
            <w:tcW w:type="dxa" w:w="3402"/>
            <w:shd w:val="clear" w:color="auto" w:fill="DEEAF1"/>
          </w:tcPr>
          <w:p>
            <w:r>
              <w:t>Portefeuille équi-pondéré (Q7)</w:t>
            </w:r>
          </w:p>
        </w:tc>
        <w:tc>
          <w:tcPr>
            <w:tcW w:type="dxa" w:w="2268"/>
            <w:shd w:val="clear" w:color="auto" w:fill="DEEAF1"/>
          </w:tcPr>
          <w:p>
            <w:pPr>
              <w:jc w:val="center"/>
            </w:pPr>
            <w:r>
              <w:t>1231.7%</w:t>
            </w:r>
          </w:p>
        </w:tc>
        <w:tc>
          <w:tcPr>
            <w:tcW w:type="dxa" w:w="2268"/>
            <w:shd w:val="clear" w:color="auto" w:fill="DEEAF1"/>
          </w:tcPr>
          <w:p>
            <w:pPr>
              <w:jc w:val="center"/>
            </w:pPr>
            <w:r>
              <w:t>4.73%</w:t>
            </w:r>
          </w:p>
        </w:tc>
        <w:tc>
          <w:tcPr>
            <w:tcW w:type="dxa" w:w="2268"/>
            <w:shd w:val="clear" w:color="auto" w:fill="DEEAF1"/>
          </w:tcPr>
          <w:p>
            <w:pPr>
              <w:jc w:val="center"/>
            </w:pPr>
            <w:r>
              <w:t>14.60%</w:t>
            </w:r>
          </w:p>
        </w:tc>
        <w:tc>
          <w:tcPr>
            <w:tcW w:type="dxa" w:w="1984"/>
            <w:shd w:val="clear" w:color="auto" w:fill="DEEAF1"/>
          </w:tcPr>
          <w:p>
            <w:pPr>
              <w:jc w:val="center"/>
            </w:pPr>
            <w:r>
              <w:t>0.3243</w:t>
            </w:r>
          </w:p>
        </w:tc>
      </w:tr>
      <w:tr>
        <w:tc>
          <w:tcPr>
            <w:tcW w:type="dxa" w:w="3402"/>
          </w:tcPr>
          <w:p>
            <w:r>
              <w:t>Stratégie MA50/200 + RSI</w:t>
            </w:r>
          </w:p>
        </w:tc>
        <w:tc>
          <w:tcPr>
            <w:tcW w:type="dxa" w:w="2268"/>
          </w:tcPr>
          <w:p>
            <w:pPr>
              <w:jc w:val="center"/>
            </w:pPr>
            <w:r>
              <w:t>289.6%</w:t>
            </w:r>
          </w:p>
        </w:tc>
        <w:tc>
          <w:tcPr>
            <w:tcW w:type="dxa" w:w="2268"/>
          </w:tcPr>
          <w:p>
            <w:pPr>
              <w:jc w:val="center"/>
            </w:pPr>
            <w:r>
              <w:t>2.46%</w:t>
            </w:r>
          </w:p>
        </w:tc>
        <w:tc>
          <w:tcPr>
            <w:tcW w:type="dxa" w:w="2268"/>
          </w:tcPr>
          <w:p>
            <w:pPr>
              <w:jc w:val="center"/>
            </w:pPr>
            <w:r>
              <w:t>19.11%</w:t>
            </w:r>
          </w:p>
        </w:tc>
        <w:tc>
          <w:tcPr>
            <w:tcW w:type="dxa" w:w="1984"/>
          </w:tcPr>
          <w:p>
            <w:pPr>
              <w:jc w:val="center"/>
            </w:pPr>
            <w:r>
              <w:t>0.1287</w:t>
            </w:r>
          </w:p>
        </w:tc>
      </w:tr>
    </w:tbl>
    <w:p/>
    <w:p>
      <w:pPr>
        <w:jc w:val="center"/>
      </w:pPr>
      <w:r>
        <w:drawing>
          <wp:inline xmlns:a="http://schemas.openxmlformats.org/drawingml/2006/main" xmlns:pic="http://schemas.openxmlformats.org/drawingml/2006/picture">
            <wp:extent cx="5760000" cy="5040000"/>
            <wp:docPr id="5" name="Picture 5"/>
            <wp:cNvGraphicFramePr>
              <a:graphicFrameLocks noChangeAspect="1"/>
            </wp:cNvGraphicFramePr>
            <a:graphic>
              <a:graphicData uri="http://schemas.openxmlformats.org/drawingml/2006/picture">
                <pic:pic>
                  <pic:nvPicPr>
                    <pic:cNvPr id="0" name="Q8_enhanced_strategy.png"/>
                    <pic:cNvPicPr/>
                  </pic:nvPicPr>
                  <pic:blipFill>
                    <a:blip r:embed="rId13"/>
                    <a:stretch>
                      <a:fillRect/>
                    </a:stretch>
                  </pic:blipFill>
                  <pic:spPr>
                    <a:xfrm>
                      <a:off x="0" y="0"/>
                      <a:ext cx="5760000" cy="5040000"/>
                    </a:xfrm>
                    <a:prstGeom prst="rect"/>
                  </pic:spPr>
                </pic:pic>
              </a:graphicData>
            </a:graphic>
          </wp:inline>
        </w:drawing>
      </w:r>
    </w:p>
    <w:p>
      <w:r>
        <w:br w:type="page"/>
      </w:r>
    </w:p>
    <w:p>
      <w:pPr>
        <w:pStyle w:val="Heading1"/>
      </w:pPr>
      <w:r>
        <w:rPr>
          <w:color w:val="1F4E79"/>
        </w:rPr>
        <w:t>Tableau récapitulatif complet</w:t>
      </w:r>
    </w:p>
    <w:p>
      <w:pPr>
        <w:spacing w:after="120"/>
      </w:pPr>
      <w:r>
        <w:t>Comparaison de toutes les stratégies sur la période 31/12/1969 – 31/12/2025.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118"/>
            <w:shd w:val="clear" w:color="auto" w:fill="1F4E79"/>
          </w:tcPr>
          <w:p>
            <w:pPr>
              <w:jc w:val="center"/>
            </w:pPr>
            <w:r>
              <w:rPr>
                <w:b/>
                <w:color w:val="FFFFFF"/>
                <w:sz w:val="20"/>
              </w:rPr>
            </w:r>
          </w:p>
        </w:tc>
        <w:tc>
          <w:tcPr>
            <w:tcW w:type="dxa" w:w="2268"/>
            <w:shd w:val="clear" w:color="auto" w:fill="1F4E79"/>
          </w:tcPr>
          <w:p>
            <w:pPr>
              <w:jc w:val="center"/>
            </w:pPr>
            <w:r>
              <w:rPr>
                <w:b/>
                <w:color w:val="FFFFFF"/>
                <w:sz w:val="20"/>
              </w:rPr>
              <w:t>Rendement cumulé</w:t>
            </w:r>
          </w:p>
        </w:tc>
        <w:tc>
          <w:tcPr>
            <w:tcW w:type="dxa" w:w="2268"/>
            <w:shd w:val="clear" w:color="auto" w:fill="1F4E79"/>
          </w:tcPr>
          <w:p>
            <w:pPr>
              <w:jc w:val="center"/>
            </w:pPr>
            <w:r>
              <w:rPr>
                <w:b/>
                <w:color w:val="FFFFFF"/>
                <w:sz w:val="20"/>
              </w:rPr>
              <w:t>Rendement actuariel (CAGR)</w:t>
            </w:r>
          </w:p>
        </w:tc>
        <w:tc>
          <w:tcPr>
            <w:tcW w:type="dxa" w:w="2268"/>
            <w:shd w:val="clear" w:color="auto" w:fill="1F4E79"/>
          </w:tcPr>
          <w:p>
            <w:pPr>
              <w:jc w:val="center"/>
            </w:pPr>
            <w:r>
              <w:rPr>
                <w:b/>
                <w:color w:val="FFFFFF"/>
                <w:sz w:val="20"/>
              </w:rPr>
              <w:t>Volatilité annualisée</w:t>
            </w:r>
          </w:p>
        </w:tc>
        <w:tc>
          <w:tcPr>
            <w:tcW w:type="dxa" w:w="1984"/>
            <w:shd w:val="clear" w:color="auto" w:fill="1F4E79"/>
          </w:tcPr>
          <w:p>
            <w:pPr>
              <w:jc w:val="center"/>
            </w:pPr>
            <w:r>
              <w:rPr>
                <w:b/>
                <w:color w:val="FFFFFF"/>
                <w:sz w:val="20"/>
              </w:rPr>
              <w:t>Ratio Rdt / Vol</w:t>
            </w:r>
          </w:p>
        </w:tc>
      </w:tr>
      <w:tr>
        <w:tc>
          <w:tcPr>
            <w:tcW w:type="dxa" w:w="3118"/>
          </w:tcPr>
          <w:p>
            <w:r>
              <w:t>S&amp;P GSCI Spot</w:t>
            </w:r>
          </w:p>
        </w:tc>
        <w:tc>
          <w:tcPr>
            <w:tcW w:type="dxa" w:w="2268"/>
          </w:tcPr>
          <w:p>
            <w:pPr>
              <w:jc w:val="center"/>
            </w:pPr>
            <w:r>
              <w:t>448.5%</w:t>
            </w:r>
          </w:p>
        </w:tc>
        <w:tc>
          <w:tcPr>
            <w:tcW w:type="dxa" w:w="2268"/>
          </w:tcPr>
          <w:p>
            <w:pPr>
              <w:jc w:val="center"/>
            </w:pPr>
            <w:r>
              <w:t>3.09%</w:t>
            </w:r>
          </w:p>
        </w:tc>
        <w:tc>
          <w:tcPr>
            <w:tcW w:type="dxa" w:w="2268"/>
          </w:tcPr>
          <w:p>
            <w:pPr>
              <w:jc w:val="center"/>
            </w:pPr>
            <w:r>
              <w:t>19.16%</w:t>
            </w:r>
          </w:p>
        </w:tc>
        <w:tc>
          <w:tcPr>
            <w:tcW w:type="dxa" w:w="1984"/>
          </w:tcPr>
          <w:p>
            <w:pPr>
              <w:jc w:val="center"/>
            </w:pPr>
            <w:r>
              <w:t>0.1610</w:t>
            </w:r>
          </w:p>
        </w:tc>
      </w:tr>
      <w:tr>
        <w:tc>
          <w:tcPr>
            <w:tcW w:type="dxa" w:w="3118"/>
            <w:shd w:val="clear" w:color="auto" w:fill="DEEAF1"/>
          </w:tcPr>
          <w:p>
            <w:r>
              <w:t>S&amp;P GSCI ER (Buy &amp; Hold)</w:t>
            </w:r>
          </w:p>
        </w:tc>
        <w:tc>
          <w:tcPr>
            <w:tcW w:type="dxa" w:w="2268"/>
            <w:shd w:val="clear" w:color="auto" w:fill="DEEAF1"/>
          </w:tcPr>
          <w:p>
            <w:pPr>
              <w:jc w:val="center"/>
            </w:pPr>
            <w:r>
              <w:t>203.4%</w:t>
            </w:r>
          </w:p>
        </w:tc>
        <w:tc>
          <w:tcPr>
            <w:tcW w:type="dxa" w:w="2268"/>
            <w:shd w:val="clear" w:color="auto" w:fill="DEEAF1"/>
          </w:tcPr>
          <w:p>
            <w:pPr>
              <w:jc w:val="center"/>
            </w:pPr>
            <w:r>
              <w:t>2.00%</w:t>
            </w:r>
          </w:p>
        </w:tc>
        <w:tc>
          <w:tcPr>
            <w:tcW w:type="dxa" w:w="2268"/>
            <w:shd w:val="clear" w:color="auto" w:fill="DEEAF1"/>
          </w:tcPr>
          <w:p>
            <w:pPr>
              <w:jc w:val="center"/>
            </w:pPr>
            <w:r>
              <w:t>19.12%</w:t>
            </w:r>
          </w:p>
        </w:tc>
        <w:tc>
          <w:tcPr>
            <w:tcW w:type="dxa" w:w="1984"/>
            <w:shd w:val="clear" w:color="auto" w:fill="DEEAF1"/>
          </w:tcPr>
          <w:p>
            <w:pPr>
              <w:jc w:val="center"/>
            </w:pPr>
            <w:r>
              <w:t>0.1047</w:t>
            </w:r>
          </w:p>
        </w:tc>
      </w:tr>
      <w:tr>
        <w:tc>
          <w:tcPr>
            <w:tcW w:type="dxa" w:w="3118"/>
          </w:tcPr>
          <w:p>
            <w:r>
              <w:t>S&amp;P GSCI TR</w:t>
            </w:r>
          </w:p>
        </w:tc>
        <w:tc>
          <w:tcPr>
            <w:tcW w:type="dxa" w:w="2268"/>
          </w:tcPr>
          <w:p>
            <w:pPr>
              <w:jc w:val="center"/>
            </w:pPr>
            <w:r>
              <w:t>3816.2%</w:t>
            </w:r>
          </w:p>
        </w:tc>
        <w:tc>
          <w:tcPr>
            <w:tcW w:type="dxa" w:w="2268"/>
          </w:tcPr>
          <w:p>
            <w:pPr>
              <w:jc w:val="center"/>
            </w:pPr>
            <w:r>
              <w:t>6.77%</w:t>
            </w:r>
          </w:p>
        </w:tc>
        <w:tc>
          <w:tcPr>
            <w:tcW w:type="dxa" w:w="2268"/>
          </w:tcPr>
          <w:p>
            <w:pPr>
              <w:jc w:val="center"/>
            </w:pPr>
            <w:r>
              <w:t>19.12%</w:t>
            </w:r>
          </w:p>
        </w:tc>
        <w:tc>
          <w:tcPr>
            <w:tcW w:type="dxa" w:w="1984"/>
          </w:tcPr>
          <w:p>
            <w:pPr>
              <w:jc w:val="center"/>
            </w:pPr>
            <w:r>
              <w:t>0.3541</w:t>
            </w:r>
          </w:p>
        </w:tc>
      </w:tr>
      <w:tr>
        <w:tc>
          <w:tcPr>
            <w:tcW w:type="dxa" w:w="3118"/>
            <w:shd w:val="clear" w:color="auto" w:fill="DEEAF1"/>
          </w:tcPr>
          <w:p>
            <w:r>
              <w:t>Stratégie MA25</w:t>
            </w:r>
          </w:p>
        </w:tc>
        <w:tc>
          <w:tcPr>
            <w:tcW w:type="dxa" w:w="2268"/>
            <w:shd w:val="clear" w:color="auto" w:fill="DEEAF1"/>
          </w:tcPr>
          <w:p>
            <w:pPr>
              <w:jc w:val="center"/>
            </w:pPr>
            <w:r>
              <w:t>1561.2%</w:t>
            </w:r>
          </w:p>
        </w:tc>
        <w:tc>
          <w:tcPr>
            <w:tcW w:type="dxa" w:w="2268"/>
            <w:shd w:val="clear" w:color="auto" w:fill="DEEAF1"/>
          </w:tcPr>
          <w:p>
            <w:pPr>
              <w:jc w:val="center"/>
            </w:pPr>
            <w:r>
              <w:t>5.15%</w:t>
            </w:r>
          </w:p>
        </w:tc>
        <w:tc>
          <w:tcPr>
            <w:tcW w:type="dxa" w:w="2268"/>
            <w:shd w:val="clear" w:color="auto" w:fill="DEEAF1"/>
          </w:tcPr>
          <w:p>
            <w:pPr>
              <w:jc w:val="center"/>
            </w:pPr>
            <w:r>
              <w:t>18.25%</w:t>
            </w:r>
          </w:p>
        </w:tc>
        <w:tc>
          <w:tcPr>
            <w:tcW w:type="dxa" w:w="1984"/>
            <w:shd w:val="clear" w:color="auto" w:fill="DEEAF1"/>
          </w:tcPr>
          <w:p>
            <w:pPr>
              <w:jc w:val="center"/>
            </w:pPr>
            <w:r>
              <w:t>0.2821</w:t>
            </w:r>
          </w:p>
        </w:tc>
      </w:tr>
      <w:tr>
        <w:tc>
          <w:tcPr>
            <w:tcW w:type="dxa" w:w="3118"/>
          </w:tcPr>
          <w:p>
            <w:r>
              <w:t>Stratégie MA50</w:t>
            </w:r>
          </w:p>
        </w:tc>
        <w:tc>
          <w:tcPr>
            <w:tcW w:type="dxa" w:w="2268"/>
          </w:tcPr>
          <w:p>
            <w:pPr>
              <w:jc w:val="center"/>
            </w:pPr>
            <w:r>
              <w:t>785.3%</w:t>
            </w:r>
          </w:p>
        </w:tc>
        <w:tc>
          <w:tcPr>
            <w:tcW w:type="dxa" w:w="2268"/>
          </w:tcPr>
          <w:p>
            <w:pPr>
              <w:jc w:val="center"/>
            </w:pPr>
            <w:r>
              <w:t>3.97%</w:t>
            </w:r>
          </w:p>
        </w:tc>
        <w:tc>
          <w:tcPr>
            <w:tcW w:type="dxa" w:w="2268"/>
          </w:tcPr>
          <w:p>
            <w:pPr>
              <w:jc w:val="center"/>
            </w:pPr>
            <w:r>
              <w:t>18.13%</w:t>
            </w:r>
          </w:p>
        </w:tc>
        <w:tc>
          <w:tcPr>
            <w:tcW w:type="dxa" w:w="1984"/>
          </w:tcPr>
          <w:p>
            <w:pPr>
              <w:jc w:val="center"/>
            </w:pPr>
            <w:r>
              <w:t>0.2190</w:t>
            </w:r>
          </w:p>
        </w:tc>
      </w:tr>
      <w:tr>
        <w:tc>
          <w:tcPr>
            <w:tcW w:type="dxa" w:w="3118"/>
            <w:shd w:val="clear" w:color="auto" w:fill="DEEAF1"/>
          </w:tcPr>
          <w:p>
            <w:r>
              <w:t>Stratégie MA100</w:t>
            </w:r>
          </w:p>
        </w:tc>
        <w:tc>
          <w:tcPr>
            <w:tcW w:type="dxa" w:w="2268"/>
            <w:shd w:val="clear" w:color="auto" w:fill="DEEAF1"/>
          </w:tcPr>
          <w:p>
            <w:pPr>
              <w:jc w:val="center"/>
            </w:pPr>
            <w:r>
              <w:t>1622.9%</w:t>
            </w:r>
          </w:p>
        </w:tc>
        <w:tc>
          <w:tcPr>
            <w:tcW w:type="dxa" w:w="2268"/>
            <w:shd w:val="clear" w:color="auto" w:fill="DEEAF1"/>
          </w:tcPr>
          <w:p>
            <w:pPr>
              <w:jc w:val="center"/>
            </w:pPr>
            <w:r>
              <w:t>5.22%</w:t>
            </w:r>
          </w:p>
        </w:tc>
        <w:tc>
          <w:tcPr>
            <w:tcW w:type="dxa" w:w="2268"/>
            <w:shd w:val="clear" w:color="auto" w:fill="DEEAF1"/>
          </w:tcPr>
          <w:p>
            <w:pPr>
              <w:jc w:val="center"/>
            </w:pPr>
            <w:r>
              <w:t>18.26%</w:t>
            </w:r>
          </w:p>
        </w:tc>
        <w:tc>
          <w:tcPr>
            <w:tcW w:type="dxa" w:w="1984"/>
            <w:shd w:val="clear" w:color="auto" w:fill="DEEAF1"/>
          </w:tcPr>
          <w:p>
            <w:pPr>
              <w:jc w:val="center"/>
            </w:pPr>
            <w:r>
              <w:t>0.2856</w:t>
            </w:r>
          </w:p>
        </w:tc>
      </w:tr>
      <w:tr>
        <w:tc>
          <w:tcPr>
            <w:tcW w:type="dxa" w:w="3118"/>
          </w:tcPr>
          <w:p>
            <w:r>
              <w:t>Stratégie MA150</w:t>
            </w:r>
          </w:p>
        </w:tc>
        <w:tc>
          <w:tcPr>
            <w:tcW w:type="dxa" w:w="2268"/>
          </w:tcPr>
          <w:p>
            <w:pPr>
              <w:jc w:val="center"/>
            </w:pPr>
            <w:r>
              <w:t>1235.9%</w:t>
            </w:r>
          </w:p>
        </w:tc>
        <w:tc>
          <w:tcPr>
            <w:tcW w:type="dxa" w:w="2268"/>
          </w:tcPr>
          <w:p>
            <w:pPr>
              <w:jc w:val="center"/>
            </w:pPr>
            <w:r>
              <w:t>4.74%</w:t>
            </w:r>
          </w:p>
        </w:tc>
        <w:tc>
          <w:tcPr>
            <w:tcW w:type="dxa" w:w="2268"/>
          </w:tcPr>
          <w:p>
            <w:pPr>
              <w:jc w:val="center"/>
            </w:pPr>
            <w:r>
              <w:t>18.72%</w:t>
            </w:r>
          </w:p>
        </w:tc>
        <w:tc>
          <w:tcPr>
            <w:tcW w:type="dxa" w:w="1984"/>
          </w:tcPr>
          <w:p>
            <w:pPr>
              <w:jc w:val="center"/>
            </w:pPr>
            <w:r>
              <w:t>0.2532</w:t>
            </w:r>
          </w:p>
        </w:tc>
      </w:tr>
      <w:tr>
        <w:tc>
          <w:tcPr>
            <w:tcW w:type="dxa" w:w="3118"/>
            <w:shd w:val="clear" w:color="auto" w:fill="DEEAF1"/>
          </w:tcPr>
          <w:p>
            <w:r>
              <w:t>Stratégie MA200</w:t>
            </w:r>
          </w:p>
        </w:tc>
        <w:tc>
          <w:tcPr>
            <w:tcW w:type="dxa" w:w="2268"/>
            <w:shd w:val="clear" w:color="auto" w:fill="DEEAF1"/>
          </w:tcPr>
          <w:p>
            <w:pPr>
              <w:jc w:val="center"/>
            </w:pPr>
            <w:r>
              <w:t>725.3%</w:t>
            </w:r>
          </w:p>
        </w:tc>
        <w:tc>
          <w:tcPr>
            <w:tcW w:type="dxa" w:w="2268"/>
            <w:shd w:val="clear" w:color="auto" w:fill="DEEAF1"/>
          </w:tcPr>
          <w:p>
            <w:pPr>
              <w:jc w:val="center"/>
            </w:pPr>
            <w:r>
              <w:t>3.84%</w:t>
            </w:r>
          </w:p>
        </w:tc>
        <w:tc>
          <w:tcPr>
            <w:tcW w:type="dxa" w:w="2268"/>
            <w:shd w:val="clear" w:color="auto" w:fill="DEEAF1"/>
          </w:tcPr>
          <w:p>
            <w:pPr>
              <w:jc w:val="center"/>
            </w:pPr>
            <w:r>
              <w:t>18.84%</w:t>
            </w:r>
          </w:p>
        </w:tc>
        <w:tc>
          <w:tcPr>
            <w:tcW w:type="dxa" w:w="1984"/>
            <w:shd w:val="clear" w:color="auto" w:fill="DEEAF1"/>
          </w:tcPr>
          <w:p>
            <w:pPr>
              <w:jc w:val="center"/>
            </w:pPr>
            <w:r>
              <w:t>0.2039</w:t>
            </w:r>
          </w:p>
        </w:tc>
      </w:tr>
      <w:tr>
        <w:tc>
          <w:tcPr>
            <w:tcW w:type="dxa" w:w="3118"/>
          </w:tcPr>
          <w:p>
            <w:r>
              <w:t>Portefeuille équi-pondéré (Q7)</w:t>
            </w:r>
          </w:p>
        </w:tc>
        <w:tc>
          <w:tcPr>
            <w:tcW w:type="dxa" w:w="2268"/>
          </w:tcPr>
          <w:p>
            <w:pPr>
              <w:jc w:val="center"/>
            </w:pPr>
            <w:r>
              <w:t>1231.7%</w:t>
            </w:r>
          </w:p>
        </w:tc>
        <w:tc>
          <w:tcPr>
            <w:tcW w:type="dxa" w:w="2268"/>
          </w:tcPr>
          <w:p>
            <w:pPr>
              <w:jc w:val="center"/>
            </w:pPr>
            <w:r>
              <w:t>4.73%</w:t>
            </w:r>
          </w:p>
        </w:tc>
        <w:tc>
          <w:tcPr>
            <w:tcW w:type="dxa" w:w="2268"/>
          </w:tcPr>
          <w:p>
            <w:pPr>
              <w:jc w:val="center"/>
            </w:pPr>
            <w:r>
              <w:t>14.60%</w:t>
            </w:r>
          </w:p>
        </w:tc>
        <w:tc>
          <w:tcPr>
            <w:tcW w:type="dxa" w:w="1984"/>
          </w:tcPr>
          <w:p>
            <w:pPr>
              <w:jc w:val="center"/>
            </w:pPr>
            <w:r>
              <w:t>0.3243</w:t>
            </w:r>
          </w:p>
        </w:tc>
      </w:tr>
      <w:tr>
        <w:tc>
          <w:tcPr>
            <w:tcW w:type="dxa" w:w="3118"/>
            <w:shd w:val="clear" w:color="auto" w:fill="DEEAF1"/>
          </w:tcPr>
          <w:p>
            <w:r>
              <w:t>Stratégie MA50/200 + RSI (Q8)</w:t>
            </w:r>
          </w:p>
        </w:tc>
        <w:tc>
          <w:tcPr>
            <w:tcW w:type="dxa" w:w="2268"/>
            <w:shd w:val="clear" w:color="auto" w:fill="DEEAF1"/>
          </w:tcPr>
          <w:p>
            <w:pPr>
              <w:jc w:val="center"/>
            </w:pPr>
            <w:r>
              <w:t>289.6%</w:t>
            </w:r>
          </w:p>
        </w:tc>
        <w:tc>
          <w:tcPr>
            <w:tcW w:type="dxa" w:w="2268"/>
            <w:shd w:val="clear" w:color="auto" w:fill="DEEAF1"/>
          </w:tcPr>
          <w:p>
            <w:pPr>
              <w:jc w:val="center"/>
            </w:pPr>
            <w:r>
              <w:t>2.46%</w:t>
            </w:r>
          </w:p>
        </w:tc>
        <w:tc>
          <w:tcPr>
            <w:tcW w:type="dxa" w:w="2268"/>
            <w:shd w:val="clear" w:color="auto" w:fill="DEEAF1"/>
          </w:tcPr>
          <w:p>
            <w:pPr>
              <w:jc w:val="center"/>
            </w:pPr>
            <w:r>
              <w:t>19.11%</w:t>
            </w:r>
          </w:p>
        </w:tc>
        <w:tc>
          <w:tcPr>
            <w:tcW w:type="dxa" w:w="1984"/>
            <w:shd w:val="clear" w:color="auto" w:fill="DEEAF1"/>
          </w:tcPr>
          <w:p>
            <w:pPr>
              <w:jc w:val="center"/>
            </w:pPr>
            <w:r>
              <w:t>0.1287</w:t>
            </w:r>
          </w:p>
        </w:tc>
      </w:tr>
    </w:tbl>
    <w:p>
      <w:r>
        <w:br w:type="page"/>
      </w:r>
    </w:p>
    <w:p>
      <w:pPr>
        <w:pStyle w:val="Heading1"/>
      </w:pPr>
      <w:r>
        <w:rPr>
          <w:color w:val="1F4E79"/>
        </w:rPr>
        <w:t>Notes méthodologiques</w:t>
      </w:r>
    </w:p>
    <w:p>
      <w:pPr>
        <w:pStyle w:val="ListBullet"/>
      </w:pPr>
      <w:r>
        <w:t>Données : API Bloomberg (blpapi) — export automatique en Excel.</w:t>
      </w:r>
    </w:p>
    <w:p>
      <w:pPr>
        <w:pStyle w:val="ListBullet"/>
      </w:pPr>
      <w:r>
        <w:t>No look-ahead bias : signaux décalés d'un jour (shift(1)).</w:t>
      </w:r>
    </w:p>
    <w:p>
      <w:pPr>
        <w:pStyle w:val="ListBullet"/>
      </w:pPr>
      <w:r>
        <w:t>Coûts de transaction : non pris en compte.</w:t>
      </w:r>
    </w:p>
    <w:p>
      <w:pPr>
        <w:pStyle w:val="ListBullet"/>
      </w:pPr>
      <w:r>
        <w:t>Volatilité des stratégies : calculée sur les jours de position active uniquement.</w:t>
      </w:r>
    </w:p>
    <w:p>
      <w:pPr>
        <w:pStyle w:val="ListBullet"/>
      </w:pPr>
      <w:r>
        <w:t>Logiciel : Python 3, pandas, numpy, matplotlib, openpyxl, python-docx.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