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On-Prem Deployment Configuration</w:t>
      </w:r>
    </w:p>
    <w:p>
      <w:pPr>
        <w:spacing w:after="40"/>
      </w:pPr>
      <w:r>
        <w:rPr>
          <w:b/>
          <w:bCs/>
          <w:color w:val="44546A"/>
          <w:sz w:val="28"/>
          <w:szCs w:val="28"/>
        </w:rPr>
        <w:t xml:space="preserve">New Site: Customer2</w:t>
      </w:r>
    </w:p>
    <w:p>
      <w:pPr>
        <w:spacing w:after="40"/>
      </w:pPr>
      <w:r>
        <w:rPr>
          <w:i/>
          <w:iCs/>
          <w:color w:val="666666"/>
          <w:sz w:val="21"/>
          <w:szCs w:val="21"/>
        </w:rPr>
        <w:t xml:space="preserve">CogniWatt Customer Platform — Backend API + Web/Desktop UI</w:t>
      </w:r>
    </w:p>
    <w:p>
      <w:pPr>
        <w:spacing w:after="200"/>
      </w:pPr>
      <w:r>
        <w:rPr>
          <w:color w:val="888888"/>
          <w:sz w:val="19"/>
          <w:szCs w:val="19"/>
        </w:rPr>
        <w:t xml:space="preserve">Prepared 2026-09-08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deployment consists of two components that must be stood up on the new on-prem network, which has outbound internet access: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— Customer-API (Python / FastAPI), source at C:\Yesu\CustomerAPI\Customer-API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— coginiwattcustomer (Flutter, web + desktop/mobile), source at C:\Yesu\coginiwattcustomer</w:t>
      </w:r>
    </w:p>
    <w:p>
      <w:pPr>
        <w:spacing w:after="120"/>
      </w:pPr>
      <w:r>
        <w:t xml:space="preserve">Because the site has internet access, externally hosted integrations (SCADA dashboard, Zoho, etc.) remain reachable without additional network changes such as a VPN or air-gap bridge.</w:t>
      </w:r>
    </w:p>
    <w:p>
      <w:pPr>
        <w:pStyle w:val="Heading1"/>
        <w:spacing w:after="150" w:before="300"/>
      </w:pPr>
      <w:r>
        <w:t xml:space="preserve">2. Site Details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560"/>
      </w:tblGrid>
      <w:tr>
        <w:trPr>
          <w:tblHeader/>
        </w:trPr>
        <w:tc>
          <w:tcPr>
            <w:tcW w:type="dxa" w:w="26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34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356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Site name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Customer2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API domain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api.customer2.cogniwatt.com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Needs a valid TLS cert (e.g. Let's Encrypt) and a reverse proxy in front of the app server.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Database host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10.x.x.x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INCOMPLETE — only a partial address (“10.x”) has been provided. Full private IP required before this can be deployed.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Internet access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Confirmed — outbound internet reachable from this network.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Still needed before this configuration is final: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database host IP (e.g. 10.20.1.15)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password for the new Postgres instance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SMTP/notification email account for this site (address + app password)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this customer needs Zoho integration, SMS/OTP delivery, or a site-specific SCADA feed URL</w:t>
      </w:r>
    </w:p>
    <w:p>
      <w:pPr>
        <w:pStyle w:val="Heading1"/>
        <w:spacing w:after="150" w:before="300"/>
      </w:pPr>
      <w:r>
        <w:t xml:space="preserve">3. Backend Configuration — Customer-API .env</w:t>
      </w:r>
    </w:p>
    <w:p>
      <w:pPr>
        <w:spacing w:after="120"/>
      </w:pPr>
      <w:r>
        <w:t xml:space="preserve">Copy .env.example to .env on the new server and set the following. Values shown as &lt;PLACEHOLDER&gt; are still outstanding (see Section 2).</w:t>
      </w:r>
    </w:p>
    <w:p>
      <w:pPr>
        <w:pStyle w:val="Heading2"/>
        <w:spacing w:after="120" w:before="240"/>
      </w:pPr>
      <w:r>
        <w:t xml:space="preserve">3.1 Database (required, PostgreSQL)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60"/>
      </w:tblGrid>
      <w:tr>
        <w:trPr>
          <w:tblHeader/>
        </w:trPr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316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DB_HOST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&lt;10.x.x.x&gt;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Full private IP needed — partial address given so far.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DB_USER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postgres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DB_PASSWORD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&lt;new-strong-db-password&gt;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Outstanding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DB_PORT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5432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DB_NAME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cogniwatt_db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DB_POOL_SIZE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Default is 5 — must raise for 500 concurrent users (see Section 7.5).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DB_MAX_OVERFLOW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Default is 10 — raise alongside DB_POOL_SIZE and coordinate with Postgres max_connections.</w:t>
            </w:r>
          </w:p>
        </w:tc>
      </w:tr>
    </w:tbl>
    <w:p>
      <w:pPr>
        <w:pStyle w:val="Heading2"/>
        <w:spacing w:after="120" w:before="240"/>
      </w:pPr>
      <w:r>
        <w:t xml:space="preserve">3.2 Application Settings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60"/>
      </w:tblGrid>
      <w:tr>
        <w:trPr>
          <w:tblHeader/>
        </w:trPr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316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APP_NAME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CogniWatt-Customer-API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ENV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BASE_URL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https://api.customer2.cogniwatt.com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Public API URL for this site.</w:t>
            </w:r>
          </w:p>
        </w:tc>
      </w:tr>
    </w:tbl>
    <w:p>
      <w:pPr>
        <w:pStyle w:val="Heading2"/>
        <w:spacing w:after="120" w:before="240"/>
      </w:pPr>
      <w:r>
        <w:t xml:space="preserve">3.3 Concurrency</w:t>
      </w:r>
    </w:p>
    <w:p>
      <w:pPr>
        <w:spacing w:after="120"/>
      </w:pPr>
      <w:r>
        <w:t xml:space="preserve">Governs per-instance request concurrency; used by start_api.sh and main.py's startup event. Both default to the low-traffic baseline and must be raised explicitly for this site's 500 concurrent user target (see Section 7.5).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60"/>
      </w:tblGrid>
      <w:tr>
        <w:trPr>
          <w:tblHeader/>
        </w:trPr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316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WEB_CONCURRENCY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Number of uvicorn worker processes — read by start_api.sh. Default 1.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THREAD_POOL_SIZE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Sync-handler thread pool size within each process, applied via anyio at startup. Default 40 (anyio's own default).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API_HOST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0.0.0.0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API_PORT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8000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3.4 Security &amp; Authentication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60"/>
      </w:tblGrid>
      <w:tr>
        <w:trPr>
          <w:tblHeader/>
        </w:trPr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316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SECRET_KEY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54cc9eed03e623fbe114418bdcd07920f06ad3402366d16833c3d809b37b58d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Freshly generated for this deployment — do not reuse across sites.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ALGORITHM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HS256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ACCESS_TOKEN_EXPIRE_MINUTES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1440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REFRESH_TOKEN_EXPIRE_DAYS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SESSION_EXPIRY_DAYS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RESETPASSWORD_TOKEN_EXPIRE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MAX_LOGIN_ATTEMPTS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MAX_OTP_ATTEMPTS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TOTP_INTERVAL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3.5 Email (SMTP) — OTP &amp; notifications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60"/>
      </w:tblGrid>
      <w:tr>
        <w:trPr>
          <w:tblHeader/>
        </w:trPr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316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SMTP_SERVER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smtp.gmail.com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SMTP_PORT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587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SMTP_USE_TLS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EMAIL_USER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&lt;new-site-notification-email&gt;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Outstanding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EMAIL_PASS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&lt;app-password&gt;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Outstanding — use an app password, not the account password.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FROM_EMAIL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&lt;new-site-notification-email&gt;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Outstanding</w:t>
            </w:r>
          </w:p>
        </w:tc>
      </w:tr>
    </w:tbl>
    <w:p>
      <w:pPr>
        <w:pStyle w:val="Heading2"/>
        <w:spacing w:after="120" w:before="240"/>
      </w:pPr>
      <w:r>
        <w:t xml:space="preserve">3.6 Optional Integrations</w:t>
      </w:r>
    </w:p>
    <w:p>
      <w:pPr>
        <w:spacing w:after="120"/>
      </w:pPr>
      <w:r>
        <w:t xml:space="preserve">Only configure the block(s) actually needed for this customer: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60"/>
      </w:tblGrid>
      <w:tr>
        <w:trPr>
          <w:tblHeader/>
        </w:trPr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316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REDIS_HOST / PORT / DB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localhost / 6379 / 0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Optional — caching only; app runs without Redis.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ZOHO_WEBHOOK_SECRET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(blank)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Set only if this customer uses Zoho integration.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VENDOR_APP_URL / INTERNAL_SERVICE_SECRET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(blank)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Set only if a companion vendor app is also deployed on this network.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SMS_PROVIDER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Set to twilio | msg91 | http to enable SMS OTP; leave “none” otherwise.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NOMINATIM_URL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https://nominatim.openstreetmap.org/reverse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Default — no change needed.</w:t>
            </w:r>
          </w:p>
        </w:tc>
      </w:tr>
    </w:tbl>
    <w:p>
      <w:pPr>
        <w:pStyle w:val="Heading2"/>
        <w:spacing w:after="120" w:before="240"/>
      </w:pPr>
      <w:r>
        <w:t xml:space="preserve">3.7 File Storage</w:t>
      </w:r>
    </w:p>
    <w:p>
      <w:pPr>
        <w:spacing w:after="120"/>
      </w:pPr>
      <w:r>
        <w:t xml:space="preserve">Where routers/file_upload.py saves uploaded documents — now configurable (fixed; previously hardcoded to uploads/documents/). The default is a local folder, fine for a single instance only. Before adding a second API instance, this must point at storage every instance can reach.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60"/>
      </w:tblGrid>
      <w:tr>
        <w:trPr>
          <w:tblHeader/>
        </w:trPr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316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UPLOAD_DIR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uploads/documents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Local path default. For 2+ instances, point at a network share or object-storage mount shared by all of them — still outstanding for this site (see Section 7.5, item 3).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MAX_UPLOAD_MB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Rejects uploads over this size — read in chunks (utils/upload_limits.py, shared by every upload endpoint), aborts early rather than buffering the whole file. Exposed to the UI unauthenticated via GET /public-config, so the Flutter app reads it live instead of keeping its own copy. Also set client_max_body_size at the reverse proxy to match.</w:t>
            </w:r>
          </w:p>
        </w:tc>
      </w:tr>
    </w:tbl>
    <w:p>
      <w:pPr>
        <w:pStyle w:val="Heading1"/>
        <w:spacing w:after="150" w:before="300"/>
      </w:pPr>
      <w:r>
        <w:t xml:space="preserve">4. Database Setup</w:t>
      </w:r>
    </w:p>
    <w:p>
      <w:pPr>
        <w:spacing w:after="120"/>
      </w:pPr>
      <w:r>
        <w:t xml:space="preserve">Schema is managed via plain SQL migration files (no Alembic), located in Customer-API/migrations/.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 a fresh PostgreSQL database on the new host (cogniwatt_db).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migrations/run_all_migrations.sql against it to build the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whether to run seed_complete_system.sql and seed_testing_request_workflow.sql for base reference data, or migrate/copy data from an existing tenant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whether Customer2 is a fully separate tenant (own DB, own users) rather than sharing an existing database — this determines the seed-vs-migrate decision above.</w:t>
      </w:r>
    </w:p>
    <w:p>
      <w:pPr>
        <w:pStyle w:val="Heading1"/>
        <w:spacing w:after="150" w:before="300"/>
      </w:pPr>
      <w:r>
        <w:t xml:space="preserve">5. Frontend Configuration — coginiwattcustomer</w:t>
      </w:r>
    </w:p>
    <w:p>
      <w:pPr>
        <w:pStyle w:val="Heading2"/>
        <w:spacing w:after="120" w:before="240"/>
      </w:pPr>
      <w:r>
        <w:t xml:space="preserve">5.1 Web build</w:t>
      </w:r>
    </w:p>
    <w:p>
      <w:pPr>
        <w:spacing w:after="120"/>
      </w:pPr>
      <w:r>
        <w:t xml:space="preserve">File: web/config.json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60"/>
      </w:tblGrid>
      <w:tr>
        <w:trPr>
          <w:tblHeader/>
        </w:trPr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316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BASE_URL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https://api.customer2.cogniwatt.com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ENV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SESSION_TIMEOUT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OTP_TIMEOUT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SCADA_DASHBOARD_URL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(shared URL, or site-specific if applicable)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Confirm if Customer2 needs its own SCADA feed.</w:t>
            </w:r>
          </w:p>
        </w:tc>
      </w:tr>
    </w:tbl>
    <w:p>
      <w:pPr>
        <w:spacing w:after="120"/>
      </w:pPr>
      <w:r>
        <w:t xml:space="preserve">WS_BASE_URL is optional — if omitted, it is derived automatically from BASE_URL by swapping the scheme to wss://.</w:t>
      </w:r>
    </w:p>
    <w:p>
      <w:pPr>
        <w:pStyle w:val="Heading2"/>
        <w:spacing w:after="120" w:before="240"/>
      </w:pPr>
      <w:r>
        <w:t xml:space="preserve">5.2 Desktop / mobile builds</w:t>
      </w:r>
    </w:p>
    <w:p>
      <w:pPr>
        <w:spacing w:after="120"/>
      </w:pPr>
      <w:r>
        <w:t xml:space="preserve">File: assets/env/.env — same keys as above, .env format. Rebuild installers for this site after updating.</w:t>
      </w:r>
    </w:p>
    <w:p>
      <w:pPr>
        <w:pStyle w:val="Heading2"/>
        <w:spacing w:after="120" w:before="240"/>
      </w:pPr>
      <w:r>
        <w:t xml:space="preserve">5.3 Backend CORS</w:t>
      </w:r>
    </w:p>
    <w:p>
      <w:pPr>
        <w:spacing w:after="120"/>
      </w:pPr>
      <w:r>
        <w:t xml:space="preserve">main.py currently allows all origins (allow_origins includes "*"), so the new UI domain will work without a backend code change. Recommended hardening (not a blocker): restrict allow_origins to https://&lt;UI domain for Customer2&gt; in production.</w:t>
      </w:r>
    </w:p>
    <w:p>
      <w:pPr>
        <w:pStyle w:val="Heading1"/>
        <w:spacing w:after="150" w:before="300"/>
      </w:pPr>
      <w:r>
        <w:t xml:space="preserve">6. Deployment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 server(s) on the new network for the API and the web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Python + dependencies (requirements.txt) for Customer-API; create venv.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and populate .env per Section 3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 PostgreSQL, run migrations, decide on seed data (Section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API behind a reverse proxy (nginx/IIS) with TLS — do not expose the raw dev server directly, since this site is internet-facing.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a process manager/service so the API restarts on crash or reboot.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flutter build web with web/config.json pointed at the new BASE_URL; host behind its own TLS-terminated 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desktop/mobile clients are needed for this site, update assets/env/.env and rebuild those installers.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DNS: point api.customer2.cogniwatt.com (and the UI's domain) at the new server, each with a valid TLS certificate.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only the reverse proxy's HTTPS port on the firewall; keep the app port internal.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 test: login/OTP flow, core dashboard views, and SCADA dashboard embed.</w:t>
      </w:r>
    </w:p>
    <w:p>
      <w:pPr>
        <w:pStyle w:val="Heading1"/>
        <w:spacing w:after="150" w:before="300"/>
      </w:pPr>
      <w:r>
        <w:t xml:space="preserve">7. Infrastructure Recommendations</w:t>
      </w:r>
    </w:p>
    <w:p>
      <w:pPr>
        <w:spacing w:after="120"/>
      </w:pPr>
      <w:r>
        <w:t xml:space="preserve">Target load for this deployment: 500 concurrent users. Sizing is driven both by the dependencies in Customer-API/requirements.txt (this API is not a plain CRUD backend — it performs OCR processing via easyocr/torch/torchvision/PyMuPDF, plus pandas/openpyxl reporting, APScheduler background jobs, and Redis caching) and by hard limits found in the current code (Section 7.5). At 500 concurrent users, hardware alone does not solve this — the code-level fixes in 7.5 are prerequisites, not optional hardening.</w:t>
      </w:r>
    </w:p>
    <w:p>
      <w:pPr>
        <w:pStyle w:val="Heading2"/>
        <w:spacing w:after="120" w:before="240"/>
      </w:pPr>
      <w:r>
        <w:t xml:space="preserve">7.1 API Server (Customer-API)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460"/>
      </w:tblGrid>
      <w:tr>
        <w:trPr>
          <w:tblHeader/>
        </w:trPr>
        <w:tc>
          <w:tcPr>
            <w:tcW w:type="dxa" w:w="19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446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Ubuntu Server 22.04 LTS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FastAPI / uvicorn / torch all run natively; avoids Windows overhead for this stack.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CPU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 vCPU minimum per instance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Route handlers are sync def, served from FastAPI's worker thread pool; easyocr/torch also run OCR inference on CPU. At 500 concurrent users this needs real headroom, not the 4 vCPU baseline for a low-traffic site.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RAM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32 GB per instance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torch + easyocr models resident (2–4 GB) plus a much larger DB connection pool, more uvicorn worker processes, and concurrent pandas report generation at this user count.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Process model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gunicorn + 4–8 UvicornWorker processes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 single uvicorn process's default thread pool (~40 threads) will queue heavily at 500 concurrent users; multiple worker processes are required.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Scaling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Plan for 2+ instances behind a load balancer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Vertical sizing alone is risky at this scale. Horizontal scaling is blocked today by local-disk file storage — see 7.5, item 3 — so treat that fix as a prerequisite to adding a second instance.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Disk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100–200 GB SSD per instance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OS/app/logs plus uploaded documents, test reports, and temp OCR files (PyMuPDF renders pages to images during processing). Grows faster at 500 users — monitor.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GPU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Not required to start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CPU-only OCR is workable if extraction is moved to a background queue (7.5, item 4); revisit only if OCR throughput remains a bottleneck after that change.</w:t>
            </w:r>
          </w:p>
        </w:tc>
      </w:tr>
    </w:tbl>
    <w:p>
      <w:pPr>
        <w:pStyle w:val="Heading2"/>
        <w:spacing w:after="120" w:before="240"/>
      </w:pPr>
      <w:r>
        <w:t xml:space="preserve">7.2 Web / UI Server (coginiwattcustomer web build)</w:t>
      </w:r>
    </w:p>
    <w:p>
      <w:pPr>
        <w:spacing w:after="120"/>
      </w:pPr>
      <w:r>
        <w:t xml:space="preserve">Serves the static Flutter web build behind a reverse proxy — no app logic runs here, so this tier scales cheaply even at 500 users.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460"/>
      </w:tblGrid>
      <w:tr>
        <w:trPr>
          <w:tblHeader/>
        </w:trPr>
        <w:tc>
          <w:tcPr>
            <w:tcW w:type="dxa" w:w="19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446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CPU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2–4 vCPU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Static file serving + reverse proxy/TLS termination; add a small margin over the low-traffic baseline for TLS handshake volume at 500 concurrent sessions.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RAM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 GB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Plenty for nginx/IIS serving a static build plus connection buffers at this concurrency.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Placement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Separate box or CDN-fronted, recommended at this scale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Co-locating with the API is fine at low traffic, but at 500 concurrent users keep it separate so a UI traffic spike doesn't compete with API/OCR CPU.</w:t>
            </w:r>
          </w:p>
        </w:tc>
      </w:tr>
    </w:tbl>
    <w:p>
      <w:pPr>
        <w:pStyle w:val="Heading2"/>
        <w:spacing w:after="120" w:before="240"/>
      </w:pPr>
      <w:r>
        <w:t xml:space="preserve">7.3 Database Server (PostgreSQL)</w:t>
      </w:r>
    </w:p>
    <w:p>
      <w:pPr>
        <w:spacing w:after="120"/>
      </w:pPr>
      <w:r>
        <w:t xml:space="preserve">The migrations/ folder shows a fairly normalized, multi-module schema (multi-tenancy, workflows, testing requests, analytics, notifications). At 500 concurrent users this must be a dedicated, well-resourced instance — the current app-side pool (Section 7.5, item 1) is the more immediate limit, but the server still needs headroom once that's fixed.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460"/>
      </w:tblGrid>
      <w:tr>
        <w:trPr>
          <w:tblHeader/>
        </w:trPr>
        <w:tc>
          <w:tcPr>
            <w:tcW w:type="dxa" w:w="19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320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4460"/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CPU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 vCPU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Raised from the low-traffic baseline (4 vCPU) to handle the larger connection pool and concurrent query volume at 500 users.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RAM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32 GB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More headroom for shared buffers/cache once connection limits are raised app-side.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Disk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SSD/NVMe, start at 200 GB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Size to data + document-metadata growth at this user count; monitor and expand.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Connection pooling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Add PgBouncer in front of Postgres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500 concurrent users with a raised app-side pool can otherwise open far more raw connections than Postgres handles well; PgBouncer absorbs that.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max_connections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Raise to match app pool sizing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Must be coordinated with the pool_size/max_overflow fix in 7.5, item 1 — raising one without the other just moves the bottleneck.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Backups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Automated backups / WAL archiving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This is the source of truth — treat it accordingly.</w:t>
            </w:r>
          </w:p>
        </w:tc>
      </w:tr>
    </w:tbl>
    <w:p>
      <w:pPr>
        <w:pStyle w:val="Heading2"/>
        <w:spacing w:after="120" w:before="240"/>
      </w:pPr>
      <w:r>
        <w:t xml:space="preserve">7.4 Redis (optional, caching)</w:t>
      </w:r>
    </w:p>
    <w:p>
      <w:pPr>
        <w:spacing w:after="120"/>
      </w:pPr>
      <w:r>
        <w:t xml:space="preserve">Lightweight at low traffic, but at 500 concurrent users run it as its own instance rather than co-located — caching becomes more valuable under load, and you don't want it competing with API or OCR CPU.</w:t>
      </w:r>
    </w:p>
    <w:p>
      <w:pPr>
        <w:pStyle w:val="Heading2"/>
        <w:spacing w:after="120" w:before="240"/>
      </w:pPr>
      <w:r>
        <w:t xml:space="preserve">7.5 Pre-Scale Fixes — Required Before 500 Concurrent Users</w:t>
      </w:r>
    </w:p>
    <w:p>
      <w:pPr>
        <w:spacing w:after="120"/>
      </w:pPr>
      <w:r>
        <w:rPr>
          <w:b/>
          <w:bCs/>
        </w:rPr>
        <w:t xml:space="preserve">These are current, concrete limits found in the code, not general best practice. None of the sizing above helps until these are addressed: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FIXED — Database connection pool is now configurable via DB_POOL_SIZE / DB_MAX_OVERFLOW in .env (database.py line ~87; documented in .env.example). Defaults remain 5/10 = 15 connections/process, so this still must be set explicitly for the new site — at 500 concurrent users, budget roughly 150 connections and coordinate with Postgres max_connections / PgBouncer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FIXED — Thread pool and worker count are now configurable via .env. main.py applies THREAD_POOL_SIZE to anyio's thread limiter at startup (default 40, matching anyio's own default), and the new start_api.sh launches uvicorn with WEB_CONCURRENCY worker processes. Both still default to the low-traffic baseline (40 threads, 1 process) and must be raised explicitly for 500 concurrent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PARTIALLY FIXED — routers/file_upload.py now reads UPLOAD_DIR from .env (previously hardcoded to uploads/documents/) — see Section 3.7. The path itself is not yet set to shared storage for this site, so horizontal scaling is still blocked until it is: a file uploaded to instance A remains invisible to instance B on a local path. Point UPLOAD_DIR at shared network storage or an S3-compatible object store before adding a second API instance.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FIXED — Uploads are now read in chunks and rejected past MAX_UPLOAD_MB (default 5 MB, .env-configurable; utils/upload_limits.py, shared by every upload endpoint — see Section 3.7) instead of buffering an unbounded file into memory. The limit is exposed to the UI unauthenticated via GET /public-config (routers/public_config.py), so the Flutter app reads it live rather than duplicating the number in its own config. Still set client_max_body_size (nginx) or equivalent at the reverse proxy to match — the app-level check alone doesn't stop an oversized request from reaching this instance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OCR extraction (easyocr/torch, workers=1) runs inline and synchronously in the request path (services/import_extractor_service.py). It is CPU-heavy and slow per call; concurrent OCR requests will serialize and can starve the shared thread pool used by everyone else's requests. Move OCR extraction to a background job/queue, separate from the request-serving pool.</w:t>
      </w:r>
    </w:p>
    <w:p>
      <w:pPr>
        <w:spacing w:after="120"/>
      </w:pPr>
      <w:r>
        <w:rPr>
          <w:i/>
          <w:iCs/>
        </w:rPr>
        <w:t xml:space="preserve">These recommendations target 500 concurrent users on a single-tenant on-prem deployment. Hardware sizing in 7.1–7.4 assumes items 1–5 above are fixed first; sizing the current code as-is for 500 concurrent users would just move the failure point from “out of memory” to “DB pool exhausted” or “thread pool saturated,” regardless of server size.</w:t>
      </w:r>
    </w:p>
    <w:p>
      <w:pPr>
        <w:pStyle w:val="Heading1"/>
        <w:spacing w:after="150" w:before="300"/>
      </w:pPr>
      <w:r>
        <w:t xml:space="preserve">8. Open Items</w:t>
      </w:r>
    </w:p>
    <w:p>
      <w:pPr>
        <w:spacing w:after="120"/>
      </w:pPr>
      <w:r>
        <w:rPr>
          <w:b/>
          <w:bCs/>
        </w:rPr>
        <w:t xml:space="preserve">These must be resolved before this configuration can be finalized and deployed: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database host IP (currently only “10.x” has been given)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SMTP/notification email account and app password for this site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Zoho, SMS/OTP, or a site-specific SCADA URL are required for Customer2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Customer2 is a new empty tenant or requires data migrated from an existing instance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Scheduling the five pre-scale code/config fixes in Section 7.5 — these are required, not optional, given the 500 concurrent user target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2026-09-09T08:43:48.681Z</dcterms:created>
  <dcterms:modified xsi:type="dcterms:W3CDTF">2026-09-09T08:43:48.690Z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