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2894D" w14:textId="77777777" w:rsidR="00371F4F" w:rsidRPr="00371F4F" w:rsidRDefault="00371F4F" w:rsidP="00371F4F">
      <w:pPr>
        <w:widowControl/>
        <w:spacing w:line="300" w:lineRule="auto"/>
        <w:jc w:val="left"/>
        <w:outlineLvl w:val="3"/>
        <w:rPr>
          <w:rFonts w:ascii="黑体" w:eastAsia="黑体" w:hAnsi="黑体" w:cs="Times New Roman"/>
          <w:b/>
          <w:sz w:val="24"/>
          <w:szCs w:val="21"/>
          <w14:ligatures w14:val="none"/>
        </w:rPr>
      </w:pPr>
      <w:r w:rsidRPr="00371F4F">
        <w:rPr>
          <w:rFonts w:ascii="黑体" w:eastAsia="黑体" w:hAnsi="黑体" w:cs="Times New Roman" w:hint="eastAsia"/>
          <w:b/>
          <w:sz w:val="24"/>
          <w:szCs w:val="21"/>
          <w14:ligatures w14:val="none"/>
        </w:rPr>
        <w:t>收敛性与前沿质量分析</w:t>
      </w:r>
    </w:p>
    <w:p w14:paraId="75CA2B48" w14:textId="77777777" w:rsidR="00371F4F" w:rsidRPr="00371F4F" w:rsidRDefault="00371F4F" w:rsidP="00371F4F">
      <w:pPr>
        <w:spacing w:line="300" w:lineRule="auto"/>
        <w:ind w:firstLineChars="200" w:firstLine="480"/>
        <w:rPr>
          <w:rFonts w:ascii="Times New Roman" w:eastAsia="宋体" w:hAnsi="Times New Roman" w:cs="Times New Roman" w:hint="eastAsia"/>
          <w:sz w:val="24"/>
          <w:szCs w:val="21"/>
          <w14:ligatures w14:val="none"/>
        </w:rPr>
      </w:pPr>
      <w:r w:rsidRPr="00371F4F">
        <w:rPr>
          <w:rFonts w:ascii="Times New Roman" w:eastAsia="宋体" w:hAnsi="Times New Roman" w:cs="Times New Roman" w:hint="eastAsia"/>
          <w:sz w:val="24"/>
          <w:szCs w:val="21"/>
          <w14:ligatures w14:val="none"/>
        </w:rPr>
        <w:t>为了全面评估所提算法在不同规模集群下的多目标优化性能，本节构建了包含</w:t>
      </w:r>
      <w:r w:rsidRPr="00371F4F">
        <w:rPr>
          <w:rFonts w:ascii="Times New Roman" w:eastAsia="宋体" w:hAnsi="Times New Roman" w:cs="Times New Roman"/>
          <w:sz w:val="24"/>
          <w:szCs w:val="21"/>
          <w14:ligatures w14:val="none"/>
        </w:rPr>
        <w:t>15</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20</w:t>
      </w:r>
      <w:r w:rsidRPr="00371F4F">
        <w:rPr>
          <w:rFonts w:ascii="Times New Roman" w:eastAsia="宋体" w:hAnsi="Times New Roman" w:cs="Times New Roman" w:hint="eastAsia"/>
          <w:sz w:val="24"/>
          <w:szCs w:val="21"/>
          <w14:ligatures w14:val="none"/>
        </w:rPr>
        <w:t>和</w:t>
      </w:r>
      <w:r w:rsidRPr="00371F4F">
        <w:rPr>
          <w:rFonts w:ascii="Times New Roman" w:eastAsia="宋体" w:hAnsi="Times New Roman" w:cs="Times New Roman"/>
          <w:sz w:val="24"/>
          <w:szCs w:val="21"/>
          <w14:ligatures w14:val="none"/>
        </w:rPr>
        <w:t>25</w:t>
      </w:r>
      <w:r w:rsidRPr="00371F4F">
        <w:rPr>
          <w:rFonts w:ascii="Times New Roman" w:eastAsia="宋体" w:hAnsi="Times New Roman" w:cs="Times New Roman" w:hint="eastAsia"/>
          <w:sz w:val="24"/>
          <w:szCs w:val="21"/>
          <w14:ligatures w14:val="none"/>
        </w:rPr>
        <w:t>个无人机节点（分别对应空间位置求解的</w:t>
      </w:r>
      <w:r w:rsidRPr="00371F4F">
        <w:rPr>
          <w:rFonts w:ascii="Times New Roman" w:eastAsia="宋体" w:hAnsi="Times New Roman" w:cs="Times New Roman"/>
          <w:sz w:val="24"/>
          <w:szCs w:val="21"/>
          <w14:ligatures w14:val="none"/>
        </w:rPr>
        <w:t>30</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40</w:t>
      </w:r>
      <w:r w:rsidRPr="00371F4F">
        <w:rPr>
          <w:rFonts w:ascii="Times New Roman" w:eastAsia="宋体" w:hAnsi="Times New Roman" w:cs="Times New Roman" w:hint="eastAsia"/>
          <w:sz w:val="24"/>
          <w:szCs w:val="21"/>
          <w14:ligatures w14:val="none"/>
        </w:rPr>
        <w:t>和</w:t>
      </w:r>
      <w:r w:rsidRPr="00371F4F">
        <w:rPr>
          <w:rFonts w:ascii="Times New Roman" w:eastAsia="宋体" w:hAnsi="Times New Roman" w:cs="Times New Roman"/>
          <w:sz w:val="24"/>
          <w:szCs w:val="21"/>
          <w14:ligatures w14:val="none"/>
        </w:rPr>
        <w:t>50</w:t>
      </w:r>
      <w:r w:rsidRPr="00371F4F">
        <w:rPr>
          <w:rFonts w:ascii="Times New Roman" w:eastAsia="宋体" w:hAnsi="Times New Roman" w:cs="Times New Roman" w:hint="eastAsia"/>
          <w:sz w:val="24"/>
          <w:szCs w:val="21"/>
          <w14:ligatures w14:val="none"/>
        </w:rPr>
        <w:t>维连续决策变量）的典型城市作战仿真场景。分别采用现有的</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算法和本文所提的</w:t>
      </w:r>
      <w:r w:rsidRPr="00371F4F">
        <w:rPr>
          <w:rFonts w:ascii="Times New Roman" w:eastAsia="宋体" w:hAnsi="Times New Roman" w:cs="Times New Roman"/>
          <w:sz w:val="24"/>
          <w:szCs w:val="21"/>
          <w14:ligatures w14:val="none"/>
        </w:rPr>
        <w:t xml:space="preserve"> MPG-NSGA-II </w:t>
      </w:r>
      <w:r w:rsidRPr="00371F4F">
        <w:rPr>
          <w:rFonts w:ascii="Times New Roman" w:eastAsia="宋体" w:hAnsi="Times New Roman" w:cs="Times New Roman" w:hint="eastAsia"/>
          <w:sz w:val="24"/>
          <w:szCs w:val="21"/>
          <w14:ligatures w14:val="none"/>
        </w:rPr>
        <w:t>算法进行相同代数的迭代进化，统计迭代进化中的超体积变化过程进行对比，并对二者的归一化代数连通度与覆盖率双目标优化的帕累托前沿解集质量进行分析。</w:t>
      </w:r>
    </w:p>
    <w:p w14:paraId="67EB60F7"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首先从迭代过程中超体积（</w:t>
      </w:r>
      <w:r w:rsidRPr="00371F4F">
        <w:rPr>
          <w:rFonts w:ascii="Times New Roman" w:eastAsia="宋体" w:hAnsi="Times New Roman" w:cs="Times New Roman"/>
          <w:sz w:val="24"/>
          <w:szCs w:val="21"/>
          <w14:ligatures w14:val="none"/>
        </w:rPr>
        <w:t>HV</w:t>
      </w:r>
      <w:r w:rsidRPr="00371F4F">
        <w:rPr>
          <w:rFonts w:ascii="Times New Roman" w:eastAsia="宋体" w:hAnsi="Times New Roman" w:cs="Times New Roman" w:hint="eastAsia"/>
          <w:sz w:val="24"/>
          <w:szCs w:val="21"/>
          <w14:ligatures w14:val="none"/>
        </w:rPr>
        <w:t>）收敛趋势以及最终帕累托前沿解集分布两大维度进行对应场景下两种算法性能对比分析。在</w:t>
      </w:r>
      <w:r w:rsidRPr="00371F4F">
        <w:rPr>
          <w:rFonts w:ascii="Times New Roman" w:eastAsia="宋体" w:hAnsi="Times New Roman" w:cs="Times New Roman"/>
          <w:sz w:val="24"/>
          <w:szCs w:val="21"/>
          <w14:ligatures w14:val="none"/>
        </w:rPr>
        <w:t>15</w:t>
      </w:r>
      <w:r w:rsidRPr="00371F4F">
        <w:rPr>
          <w:rFonts w:ascii="Times New Roman" w:eastAsia="宋体" w:hAnsi="Times New Roman" w:cs="Times New Roman" w:hint="eastAsia"/>
          <w:sz w:val="24"/>
          <w:szCs w:val="21"/>
          <w14:ligatures w14:val="none"/>
        </w:rPr>
        <w:t>个节点（</w:t>
      </w:r>
      <w:r w:rsidRPr="00371F4F">
        <w:rPr>
          <w:rFonts w:ascii="Times New Roman" w:eastAsia="宋体" w:hAnsi="Times New Roman" w:cs="Times New Roman"/>
          <w:sz w:val="24"/>
          <w:szCs w:val="21"/>
          <w14:ligatures w14:val="none"/>
        </w:rPr>
        <w:t xml:space="preserve">30 </w:t>
      </w:r>
      <w:r w:rsidRPr="00371F4F">
        <w:rPr>
          <w:rFonts w:ascii="Times New Roman" w:eastAsia="宋体" w:hAnsi="Times New Roman" w:cs="Times New Roman" w:hint="eastAsia"/>
          <w:sz w:val="24"/>
          <w:szCs w:val="21"/>
          <w14:ligatures w14:val="none"/>
        </w:rPr>
        <w:t>维变量）的场景中，两种算法的帕累托前沿解集分布及</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迭代指标对比如图</w:t>
      </w:r>
      <w:r w:rsidRPr="00371F4F">
        <w:rPr>
          <w:rFonts w:ascii="Times New Roman" w:eastAsia="宋体" w:hAnsi="Times New Roman" w:cs="Times New Roman"/>
          <w:sz w:val="24"/>
          <w:szCs w:val="21"/>
          <w14:ligatures w14:val="none"/>
        </w:rPr>
        <w:t>4-9</w:t>
      </w:r>
      <w:r w:rsidRPr="00371F4F">
        <w:rPr>
          <w:rFonts w:ascii="Times New Roman" w:eastAsia="宋体" w:hAnsi="Times New Roman" w:cs="Times New Roman" w:hint="eastAsia"/>
          <w:sz w:val="24"/>
          <w:szCs w:val="21"/>
          <w14:ligatures w14:val="none"/>
        </w:rPr>
        <w:t>所示。</w:t>
      </w:r>
    </w:p>
    <w:tbl>
      <w:tblPr>
        <w:tblStyle w:val="ad"/>
        <w:tblW w:w="5000" w:type="pct"/>
        <w:jc w:val="center"/>
        <w:tblInd w:w="0" w:type="dxa"/>
        <w:tblCellMar>
          <w:left w:w="0" w:type="dxa"/>
          <w:right w:w="0" w:type="dxa"/>
        </w:tblCellMar>
        <w:tblLook w:val="04A0" w:firstRow="1" w:lastRow="0" w:firstColumn="1" w:lastColumn="0" w:noHBand="0" w:noVBand="1"/>
      </w:tblPr>
      <w:tblGrid>
        <w:gridCol w:w="4153"/>
        <w:gridCol w:w="4153"/>
      </w:tblGrid>
      <w:tr w:rsidR="00371F4F" w:rsidRPr="00371F4F" w14:paraId="6BCD7D93" w14:textId="77777777" w:rsidTr="00371F4F">
        <w:trPr>
          <w:trHeight w:val="283"/>
          <w:jc w:val="center"/>
        </w:trPr>
        <w:tc>
          <w:tcPr>
            <w:tcW w:w="2500" w:type="pct"/>
            <w:vAlign w:val="center"/>
            <w:hideMark/>
          </w:tcPr>
          <w:p w14:paraId="4BF3CEA7" w14:textId="77777777" w:rsidR="00371F4F" w:rsidRPr="00371F4F" w:rsidRDefault="00371F4F" w:rsidP="00371F4F">
            <w:pPr>
              <w:keepNext/>
              <w:widowControl/>
              <w:jc w:val="center"/>
            </w:pPr>
            <w:r w:rsidRPr="00371F4F">
              <w:rPr>
                <w:noProof/>
              </w:rPr>
              <w:drawing>
                <wp:inline distT="0" distB="0" distL="0" distR="0" wp14:anchorId="2DAF1E3A" wp14:editId="3227679F">
                  <wp:extent cx="2523490" cy="2000885"/>
                  <wp:effectExtent l="0" t="0" r="0" b="0"/>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c>
          <w:tcPr>
            <w:tcW w:w="2500" w:type="pct"/>
            <w:vAlign w:val="center"/>
            <w:hideMark/>
          </w:tcPr>
          <w:p w14:paraId="634BBE39" w14:textId="77777777" w:rsidR="00371F4F" w:rsidRPr="00371F4F" w:rsidRDefault="00371F4F" w:rsidP="00371F4F">
            <w:pPr>
              <w:keepNext/>
              <w:widowControl/>
              <w:jc w:val="center"/>
            </w:pPr>
            <w:r w:rsidRPr="00371F4F">
              <w:rPr>
                <w:noProof/>
              </w:rPr>
              <w:drawing>
                <wp:inline distT="0" distB="0" distL="0" distR="0" wp14:anchorId="2CBEFC5B" wp14:editId="35E3EE60">
                  <wp:extent cx="2523490" cy="2000885"/>
                  <wp:effectExtent l="0" t="0" r="0" b="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r>
      <w:tr w:rsidR="00371F4F" w:rsidRPr="00371F4F" w14:paraId="138943D7" w14:textId="77777777" w:rsidTr="00371F4F">
        <w:trPr>
          <w:trHeight w:val="283"/>
          <w:jc w:val="center"/>
        </w:trPr>
        <w:tc>
          <w:tcPr>
            <w:tcW w:w="2500" w:type="pct"/>
            <w:vAlign w:val="center"/>
            <w:hideMark/>
          </w:tcPr>
          <w:p w14:paraId="45576DAF" w14:textId="77777777" w:rsidR="00371F4F" w:rsidRPr="00371F4F" w:rsidRDefault="00371F4F" w:rsidP="00371F4F">
            <w:pPr>
              <w:keepNext/>
              <w:widowControl/>
              <w:jc w:val="center"/>
            </w:pPr>
            <w:r w:rsidRPr="00371F4F">
              <w:rPr>
                <w:rFonts w:ascii="宋体" w:eastAsia="宋体" w:hAnsi="宋体" w:cs="宋体" w:hint="eastAsia"/>
              </w:rPr>
              <w:t>（</w:t>
            </w:r>
            <w:r w:rsidRPr="00371F4F">
              <w:t>a</w:t>
            </w:r>
            <w:r w:rsidRPr="00371F4F">
              <w:rPr>
                <w:rFonts w:ascii="宋体" w:eastAsia="宋体" w:hAnsi="宋体" w:cs="宋体" w:hint="eastAsia"/>
              </w:rPr>
              <w:t>）</w:t>
            </w:r>
            <w:r w:rsidRPr="00371F4F">
              <w:rPr>
                <w:rFonts w:ascii="楷体" w:eastAsia="楷体" w:hAnsi="楷体" w:hint="eastAsia"/>
              </w:rPr>
              <w:t>HV迭代图</w:t>
            </w:r>
          </w:p>
        </w:tc>
        <w:tc>
          <w:tcPr>
            <w:tcW w:w="2500" w:type="pct"/>
            <w:vAlign w:val="center"/>
            <w:hideMark/>
          </w:tcPr>
          <w:p w14:paraId="4617A106" w14:textId="77777777" w:rsidR="00371F4F" w:rsidRPr="00371F4F" w:rsidRDefault="00371F4F" w:rsidP="00371F4F">
            <w:pPr>
              <w:keepNext/>
              <w:widowControl/>
              <w:jc w:val="center"/>
            </w:pPr>
            <w:r w:rsidRPr="00371F4F">
              <w:rPr>
                <w:rFonts w:ascii="宋体" w:eastAsia="宋体" w:hAnsi="宋体" w:cs="宋体" w:hint="eastAsia"/>
              </w:rPr>
              <w:t>（</w:t>
            </w:r>
            <w:r w:rsidRPr="00371F4F">
              <w:t>b</w:t>
            </w:r>
            <w:r w:rsidRPr="00371F4F">
              <w:rPr>
                <w:rFonts w:ascii="宋体" w:eastAsia="宋体" w:hAnsi="宋体" w:cs="宋体" w:hint="eastAsia"/>
              </w:rPr>
              <w:t>）</w:t>
            </w:r>
            <w:r w:rsidRPr="00371F4F">
              <w:rPr>
                <w:rFonts w:ascii="楷体" w:eastAsia="楷体" w:hAnsi="楷体" w:hint="eastAsia"/>
              </w:rPr>
              <w:t>帕累托前沿解集</w:t>
            </w:r>
          </w:p>
        </w:tc>
      </w:tr>
      <w:tr w:rsidR="00371F4F" w:rsidRPr="00371F4F" w14:paraId="22C6D727" w14:textId="77777777" w:rsidTr="00371F4F">
        <w:trPr>
          <w:trHeight w:val="283"/>
          <w:jc w:val="center"/>
        </w:trPr>
        <w:tc>
          <w:tcPr>
            <w:tcW w:w="2500" w:type="pct"/>
            <w:vAlign w:val="center"/>
            <w:hideMark/>
          </w:tcPr>
          <w:p w14:paraId="13FC4EB9" w14:textId="77777777" w:rsidR="00371F4F" w:rsidRPr="00371F4F" w:rsidRDefault="00371F4F" w:rsidP="00371F4F">
            <w:pPr>
              <w:keepNext/>
              <w:widowControl/>
              <w:jc w:val="center"/>
            </w:pPr>
            <w:r w:rsidRPr="00371F4F">
              <w:t>(a) HV convergence curve</w:t>
            </w:r>
          </w:p>
        </w:tc>
        <w:tc>
          <w:tcPr>
            <w:tcW w:w="2500" w:type="pct"/>
            <w:vAlign w:val="center"/>
            <w:hideMark/>
          </w:tcPr>
          <w:p w14:paraId="5164CAD9" w14:textId="77777777" w:rsidR="00371F4F" w:rsidRPr="00371F4F" w:rsidRDefault="00371F4F" w:rsidP="00371F4F">
            <w:pPr>
              <w:keepNext/>
              <w:widowControl/>
              <w:jc w:val="center"/>
            </w:pPr>
            <w:r w:rsidRPr="00371F4F">
              <w:t>(b) Pareto front solution set</w:t>
            </w:r>
          </w:p>
        </w:tc>
      </w:tr>
    </w:tbl>
    <w:p w14:paraId="4138B15C" w14:textId="77777777" w:rsidR="00371F4F" w:rsidRPr="00371F4F" w:rsidRDefault="00371F4F" w:rsidP="00371F4F">
      <w:pPr>
        <w:keepNext/>
        <w:widowControl/>
        <w:numPr>
          <w:ilvl w:val="3"/>
          <w:numId w:val="2"/>
        </w:numPr>
        <w:jc w:val="center"/>
        <w:rPr>
          <w:rFonts w:ascii="Times New Roman" w:eastAsia="楷体" w:hAnsi="Times New Roman" w:cs="Times New Roman"/>
          <w:szCs w:val="21"/>
        </w:rPr>
      </w:pPr>
      <w:r w:rsidRPr="00371F4F">
        <w:rPr>
          <w:rFonts w:ascii="楷体" w:eastAsia="楷体" w:hAnsi="楷体" w:cs="Times New Roman"/>
        </w:rPr>
        <w:t xml:space="preserve"> </w:t>
      </w:r>
      <w:bookmarkStart w:id="0" w:name="_Toc226053767"/>
      <w:r w:rsidRPr="00371F4F">
        <w:rPr>
          <w:rFonts w:ascii="楷体" w:eastAsia="楷体" w:hAnsi="楷体" w:cs="Times New Roman"/>
        </w:rPr>
        <w:t>15</w:t>
      </w:r>
      <w:r w:rsidRPr="00371F4F">
        <w:rPr>
          <w:rFonts w:ascii="楷体" w:eastAsia="楷体" w:hAnsi="楷体" w:cs="Times New Roman" w:hint="eastAsia"/>
        </w:rPr>
        <w:t>节点场景下解集和迭代效果对比</w:t>
      </w:r>
      <w:bookmarkEnd w:id="0"/>
    </w:p>
    <w:p w14:paraId="36F8E71F" w14:textId="77777777" w:rsidR="00371F4F" w:rsidRPr="00371F4F" w:rsidRDefault="00371F4F" w:rsidP="00371F4F">
      <w:pPr>
        <w:widowControl/>
        <w:numPr>
          <w:ilvl w:val="4"/>
          <w:numId w:val="2"/>
        </w:numPr>
        <w:spacing w:afterLines="100" w:after="312"/>
        <w:jc w:val="center"/>
        <w:rPr>
          <w:rFonts w:ascii="楷体" w:eastAsia="楷体" w:hAnsi="楷体" w:cs="Times New Roman"/>
        </w:rPr>
      </w:pPr>
      <w:r w:rsidRPr="00371F4F">
        <w:rPr>
          <w:rFonts w:ascii="楷体" w:eastAsia="楷体" w:hAnsi="楷体" w:cs="Times New Roman"/>
        </w:rPr>
        <w:t>Comparison of solution sets and convergence performance in the 15-node scenario</w:t>
      </w:r>
    </w:p>
    <w:p w14:paraId="05C75BCB"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从</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迭代曲线可以看出，</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在迭代初期呈现出极其陡峭的上升趋势，并迅速拉开与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的差距。这种显著的加速收敛特性，从原理上归功于</w:t>
      </w:r>
      <w:r w:rsidRPr="00371F4F">
        <w:rPr>
          <w:rFonts w:ascii="Times New Roman" w:eastAsia="宋体" w:hAnsi="Times New Roman" w:cs="Times New Roman"/>
          <w:sz w:val="24"/>
          <w:szCs w:val="21"/>
          <w14:ligatures w14:val="none"/>
        </w:rPr>
        <w:t xml:space="preserve"> Voronoi </w:t>
      </w:r>
      <w:r w:rsidRPr="00371F4F">
        <w:rPr>
          <w:rFonts w:ascii="Times New Roman" w:eastAsia="宋体" w:hAnsi="Times New Roman" w:cs="Times New Roman" w:hint="eastAsia"/>
          <w:sz w:val="24"/>
          <w:szCs w:val="21"/>
          <w14:ligatures w14:val="none"/>
        </w:rPr>
        <w:t>覆盖引导与节点度连通引导机制，局部启发式算子极大减少了算法在高维搜索空间中的无效随机试探，加快了向真实帕累托前沿逼近的速度</w:t>
      </w:r>
      <w:r w:rsidRPr="00371F4F">
        <w:rPr>
          <w:rFonts w:ascii="Times New Roman" w:eastAsia="宋体" w:hAnsi="Times New Roman" w:cs="Times New Roman"/>
          <w:sz w:val="24"/>
          <w:szCs w:val="21"/>
          <w14:ligatures w14:val="none"/>
        </w:rPr>
        <w:t>,</w:t>
      </w:r>
      <w:r w:rsidRPr="00371F4F">
        <w:rPr>
          <w:rFonts w:ascii="Times New Roman" w:eastAsia="宋体" w:hAnsi="Times New Roman" w:cs="Times New Roman" w:hint="eastAsia"/>
          <w:sz w:val="24"/>
          <w:szCs w:val="21"/>
          <w14:ligatures w14:val="none"/>
        </w:rPr>
        <w:t>并且随着逐渐迭代，所提算法能够持续对现有种群进行优化，推进</w:t>
      </w:r>
      <w:r w:rsidRPr="00371F4F">
        <w:rPr>
          <w:rFonts w:ascii="Times New Roman" w:eastAsia="宋体" w:hAnsi="Times New Roman" w:cs="Times New Roman"/>
          <w:sz w:val="24"/>
          <w:szCs w:val="21"/>
          <w14:ligatures w14:val="none"/>
        </w:rPr>
        <w:t>HV</w:t>
      </w:r>
      <w:r w:rsidRPr="00371F4F">
        <w:rPr>
          <w:rFonts w:ascii="Times New Roman" w:eastAsia="宋体" w:hAnsi="Times New Roman" w:cs="Times New Roman" w:hint="eastAsia"/>
          <w:sz w:val="24"/>
          <w:szCs w:val="21"/>
          <w14:ligatures w14:val="none"/>
        </w:rPr>
        <w:t>增加。由帕累托前沿分布图直观可见，</w:t>
      </w:r>
      <w:r w:rsidRPr="00371F4F">
        <w:rPr>
          <w:rFonts w:ascii="Times New Roman" w:eastAsia="宋体" w:hAnsi="Times New Roman" w:cs="Times New Roman"/>
          <w:sz w:val="24"/>
          <w:szCs w:val="21"/>
          <w14:ligatures w14:val="none"/>
        </w:rPr>
        <w:t>MPG-NSGA-II</w:t>
      </w:r>
      <w:r w:rsidRPr="00371F4F">
        <w:rPr>
          <w:rFonts w:ascii="Times New Roman" w:eastAsia="宋体" w:hAnsi="Times New Roman" w:cs="Times New Roman" w:hint="eastAsia"/>
          <w:sz w:val="24"/>
          <w:szCs w:val="21"/>
          <w14:ligatures w14:val="none"/>
        </w:rPr>
        <w:t>（红色虚线）求得的前沿解集在整体上显著支配了传统</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算法（绿色实线）。在覆盖率大于</w:t>
      </w:r>
      <w:r w:rsidRPr="00371F4F">
        <w:rPr>
          <w:rFonts w:ascii="Times New Roman" w:eastAsia="宋体" w:hAnsi="Times New Roman" w:cs="Times New Roman"/>
          <w:sz w:val="24"/>
          <w:szCs w:val="21"/>
          <w14:ligatures w14:val="none"/>
        </w:rPr>
        <w:t xml:space="preserve"> 0.85</w:t>
      </w:r>
      <w:r w:rsidRPr="00371F4F">
        <w:rPr>
          <w:rFonts w:ascii="Times New Roman" w:eastAsia="宋体" w:hAnsi="Times New Roman" w:cs="Times New Roman" w:hint="eastAsia"/>
          <w:sz w:val="24"/>
          <w:szCs w:val="21"/>
          <w14:ligatures w14:val="none"/>
        </w:rPr>
        <w:t>的关键折中优化区间内，</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能够寻找到向右上方大幅推进的前沿解，这表明在同等节点资源下，本文算法能探索到覆盖与连通更为优化的部署方案。</w:t>
      </w:r>
    </w:p>
    <w:p w14:paraId="4C1931D1"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当集群规模扩大至</w:t>
      </w:r>
      <w:r w:rsidRPr="00371F4F">
        <w:rPr>
          <w:rFonts w:ascii="Times New Roman" w:eastAsia="宋体" w:hAnsi="Times New Roman" w:cs="Times New Roman"/>
          <w:sz w:val="24"/>
          <w:szCs w:val="21"/>
          <w14:ligatures w14:val="none"/>
        </w:rPr>
        <w:t xml:space="preserve"> 20 </w:t>
      </w:r>
      <w:r w:rsidRPr="00371F4F">
        <w:rPr>
          <w:rFonts w:ascii="Times New Roman" w:eastAsia="宋体" w:hAnsi="Times New Roman" w:cs="Times New Roman" w:hint="eastAsia"/>
          <w:sz w:val="24"/>
          <w:szCs w:val="21"/>
          <w14:ligatures w14:val="none"/>
        </w:rPr>
        <w:t>个节点时，算法需要优化的连续决策变量随之提升至</w:t>
      </w:r>
      <w:r w:rsidRPr="00371F4F">
        <w:rPr>
          <w:rFonts w:ascii="Times New Roman" w:eastAsia="宋体" w:hAnsi="Times New Roman" w:cs="Times New Roman"/>
          <w:sz w:val="24"/>
          <w:szCs w:val="21"/>
          <w14:ligatures w14:val="none"/>
        </w:rPr>
        <w:t xml:space="preserve"> 40 </w:t>
      </w:r>
      <w:r w:rsidRPr="00371F4F">
        <w:rPr>
          <w:rFonts w:ascii="Times New Roman" w:eastAsia="宋体" w:hAnsi="Times New Roman" w:cs="Times New Roman" w:hint="eastAsia"/>
          <w:sz w:val="24"/>
          <w:szCs w:val="21"/>
          <w14:ligatures w14:val="none"/>
        </w:rPr>
        <w:t>维，解空间提升至中等规模。在这种搜索空间下，传统非定向多项式变异的</w:t>
      </w:r>
      <w:r w:rsidRPr="00371F4F">
        <w:rPr>
          <w:rFonts w:ascii="Times New Roman" w:eastAsia="宋体" w:hAnsi="Times New Roman" w:cs="Times New Roman" w:hint="eastAsia"/>
          <w:sz w:val="24"/>
          <w:szCs w:val="21"/>
          <w14:ligatures w14:val="none"/>
        </w:rPr>
        <w:lastRenderedPageBreak/>
        <w:t>随机游走策略极易在庞大的搜索空间中陷入局部最优。如图</w:t>
      </w:r>
      <w:r w:rsidRPr="00371F4F">
        <w:rPr>
          <w:rFonts w:ascii="Times New Roman" w:eastAsia="宋体" w:hAnsi="Times New Roman" w:cs="Times New Roman"/>
          <w:sz w:val="24"/>
          <w:szCs w:val="21"/>
          <w14:ligatures w14:val="none"/>
        </w:rPr>
        <w:t xml:space="preserve">4-10(a)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收敛曲线所示，传统</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算法在迭代至</w:t>
      </w:r>
      <w:r w:rsidRPr="00371F4F">
        <w:rPr>
          <w:rFonts w:ascii="Times New Roman" w:eastAsia="宋体" w:hAnsi="Times New Roman" w:cs="Times New Roman"/>
          <w:sz w:val="24"/>
          <w:szCs w:val="21"/>
          <w14:ligatures w14:val="none"/>
        </w:rPr>
        <w:t xml:space="preserve"> 200 </w:t>
      </w:r>
      <w:r w:rsidRPr="00371F4F">
        <w:rPr>
          <w:rFonts w:ascii="Times New Roman" w:eastAsia="宋体" w:hAnsi="Times New Roman" w:cs="Times New Roman" w:hint="eastAsia"/>
          <w:sz w:val="24"/>
          <w:szCs w:val="21"/>
          <w14:ligatures w14:val="none"/>
        </w:rPr>
        <w:t>代左右时便出现了明显的收敛停滞现象，</w:t>
      </w:r>
      <w:commentRangeStart w:id="1"/>
      <w:commentRangeStart w:id="2"/>
      <w:r w:rsidRPr="00371F4F">
        <w:rPr>
          <w:rFonts w:ascii="Times New Roman" w:eastAsia="宋体" w:hAnsi="Times New Roman" w:cs="Times New Roman" w:hint="eastAsia"/>
          <w:sz w:val="24"/>
          <w:szCs w:val="21"/>
          <w14:ligatures w14:val="none"/>
        </w:rPr>
        <w:t>最终</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值仅能达到约</w:t>
      </w:r>
      <w:r w:rsidRPr="00371F4F">
        <w:rPr>
          <w:rFonts w:ascii="Times New Roman" w:eastAsia="宋体" w:hAnsi="Times New Roman" w:cs="Times New Roman"/>
          <w:sz w:val="24"/>
          <w:szCs w:val="21"/>
          <w14:ligatures w14:val="none"/>
        </w:rPr>
        <w:t xml:space="preserve"> 0.85,</w:t>
      </w:r>
      <w:r w:rsidRPr="00371F4F">
        <w:rPr>
          <w:rFonts w:ascii="Times New Roman" w:eastAsia="宋体" w:hAnsi="Times New Roman" w:cs="Times New Roman" w:hint="eastAsia"/>
          <w:sz w:val="24"/>
          <w:szCs w:val="21"/>
          <w14:ligatures w14:val="none"/>
        </w:rPr>
        <w:t>并且在后续的迭代过程中难以实现有效提升，陷入局部最优。</w:t>
      </w:r>
      <w:commentRangeEnd w:id="1"/>
      <w:r w:rsidRPr="00371F4F">
        <w:rPr>
          <w:rFonts w:ascii="Times New Roman" w:eastAsia="宋体" w:hAnsi="Times New Roman" w:cs="Times New Roman"/>
          <w:szCs w:val="21"/>
          <w14:ligatures w14:val="none"/>
        </w:rPr>
        <w:commentReference w:id="1"/>
      </w:r>
      <w:commentRangeEnd w:id="2"/>
      <w:r w:rsidRPr="00371F4F">
        <w:rPr>
          <w:rFonts w:ascii="Times New Roman" w:eastAsia="宋体" w:hAnsi="Times New Roman" w:cs="Times New Roman"/>
          <w:szCs w:val="21"/>
          <w14:ligatures w14:val="none"/>
        </w:rPr>
        <w:commentReference w:id="2"/>
      </w:r>
      <w:r w:rsidRPr="00371F4F">
        <w:rPr>
          <w:rFonts w:ascii="Times New Roman" w:eastAsia="宋体" w:hAnsi="Times New Roman" w:cs="Times New Roman" w:hint="eastAsia"/>
          <w:sz w:val="24"/>
          <w:szCs w:val="21"/>
          <w14:ligatures w14:val="none"/>
        </w:rPr>
        <w:t>反映在对应的前沿解集分布上，</w:t>
      </w:r>
      <w:r w:rsidRPr="00371F4F">
        <w:rPr>
          <w:rFonts w:ascii="Times New Roman" w:eastAsia="宋体" w:hAnsi="Times New Roman" w:cs="Times New Roman"/>
          <w:sz w:val="24"/>
          <w:szCs w:val="21"/>
          <w14:ligatures w14:val="none"/>
        </w:rPr>
        <w:t xml:space="preserve">NSGA-II </w:t>
      </w:r>
      <w:r w:rsidRPr="00371F4F">
        <w:rPr>
          <w:rFonts w:ascii="Times New Roman" w:eastAsia="宋体" w:hAnsi="Times New Roman" w:cs="Times New Roman" w:hint="eastAsia"/>
          <w:sz w:val="24"/>
          <w:szCs w:val="21"/>
          <w14:ligatures w14:val="none"/>
        </w:rPr>
        <w:t>求解的前沿解集在高连通和高覆盖的区域解质量明显差于所提算法，无法提供高质量的部署方案。相比之下，</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依然保持了极其优越的推进效果。凭借局部拓扑修复与覆盖引导的双重启发式机制，算法能够在高维空间中精准定位优化梯度。即使面对节点数增加带来复杂的城市障碍物遮挡关系，算法依然能有效维持种群进化，防止困在最局部最优值，最终</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值稳定在</w:t>
      </w:r>
      <w:r w:rsidRPr="00371F4F">
        <w:rPr>
          <w:rFonts w:ascii="Times New Roman" w:eastAsia="宋体" w:hAnsi="Times New Roman" w:cs="Times New Roman"/>
          <w:sz w:val="24"/>
          <w:szCs w:val="21"/>
          <w14:ligatures w14:val="none"/>
        </w:rPr>
        <w:t xml:space="preserve"> 0.91 </w:t>
      </w:r>
      <w:r w:rsidRPr="00371F4F">
        <w:rPr>
          <w:rFonts w:ascii="Times New Roman" w:eastAsia="宋体" w:hAnsi="Times New Roman" w:cs="Times New Roman" w:hint="eastAsia"/>
          <w:sz w:val="24"/>
          <w:szCs w:val="21"/>
          <w14:ligatures w14:val="none"/>
        </w:rPr>
        <w:t>左右。其帕累托前沿不仅在目标空间中的分布形态更加连续，且在极端覆盖或极端连通的两端均延伸出了更广的搜索边界，为决策者提供了更为丰富的战术部署选项。</w:t>
      </w:r>
    </w:p>
    <w:tbl>
      <w:tblPr>
        <w:tblStyle w:val="ad"/>
        <w:tblW w:w="5000" w:type="pct"/>
        <w:jc w:val="center"/>
        <w:tblInd w:w="0" w:type="dxa"/>
        <w:tblCellMar>
          <w:left w:w="0" w:type="dxa"/>
          <w:right w:w="0" w:type="dxa"/>
        </w:tblCellMar>
        <w:tblLook w:val="04A0" w:firstRow="1" w:lastRow="0" w:firstColumn="1" w:lastColumn="0" w:noHBand="0" w:noVBand="1"/>
      </w:tblPr>
      <w:tblGrid>
        <w:gridCol w:w="4153"/>
        <w:gridCol w:w="4153"/>
      </w:tblGrid>
      <w:tr w:rsidR="00371F4F" w:rsidRPr="00371F4F" w14:paraId="6211B485" w14:textId="77777777" w:rsidTr="00371F4F">
        <w:trPr>
          <w:trHeight w:val="283"/>
          <w:jc w:val="center"/>
        </w:trPr>
        <w:tc>
          <w:tcPr>
            <w:tcW w:w="2500" w:type="pct"/>
            <w:vAlign w:val="center"/>
            <w:hideMark/>
          </w:tcPr>
          <w:p w14:paraId="7D990C2B" w14:textId="77777777" w:rsidR="00371F4F" w:rsidRPr="00371F4F" w:rsidRDefault="00371F4F" w:rsidP="00371F4F">
            <w:pPr>
              <w:keepNext/>
              <w:widowControl/>
              <w:jc w:val="center"/>
            </w:pPr>
            <w:r w:rsidRPr="00371F4F">
              <w:rPr>
                <w:noProof/>
              </w:rPr>
              <w:drawing>
                <wp:inline distT="0" distB="0" distL="0" distR="0" wp14:anchorId="043C9F03" wp14:editId="24ACEA2B">
                  <wp:extent cx="2523490" cy="2000885"/>
                  <wp:effectExtent l="0" t="0" r="0" b="0"/>
                  <wp:docPr id="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c>
          <w:tcPr>
            <w:tcW w:w="2500" w:type="pct"/>
            <w:vAlign w:val="center"/>
            <w:hideMark/>
          </w:tcPr>
          <w:p w14:paraId="7374C760" w14:textId="77777777" w:rsidR="00371F4F" w:rsidRPr="00371F4F" w:rsidRDefault="00371F4F" w:rsidP="00371F4F">
            <w:pPr>
              <w:keepNext/>
              <w:widowControl/>
              <w:jc w:val="center"/>
            </w:pPr>
            <w:r w:rsidRPr="00371F4F">
              <w:rPr>
                <w:noProof/>
              </w:rPr>
              <w:drawing>
                <wp:inline distT="0" distB="0" distL="0" distR="0" wp14:anchorId="18A03051" wp14:editId="546A4BD9">
                  <wp:extent cx="2523490" cy="2007235"/>
                  <wp:effectExtent l="0" t="0" r="0" b="0"/>
                  <wp:docPr id="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3490" cy="2007235"/>
                          </a:xfrm>
                          <a:prstGeom prst="rect">
                            <a:avLst/>
                          </a:prstGeom>
                          <a:noFill/>
                          <a:ln>
                            <a:noFill/>
                          </a:ln>
                        </pic:spPr>
                      </pic:pic>
                    </a:graphicData>
                  </a:graphic>
                </wp:inline>
              </w:drawing>
            </w:r>
          </w:p>
        </w:tc>
      </w:tr>
      <w:tr w:rsidR="00371F4F" w:rsidRPr="00371F4F" w14:paraId="04EA9D53" w14:textId="77777777" w:rsidTr="00371F4F">
        <w:trPr>
          <w:trHeight w:val="283"/>
          <w:jc w:val="center"/>
        </w:trPr>
        <w:tc>
          <w:tcPr>
            <w:tcW w:w="2500" w:type="pct"/>
            <w:vAlign w:val="center"/>
            <w:hideMark/>
          </w:tcPr>
          <w:p w14:paraId="5C473BE4" w14:textId="77777777" w:rsidR="00371F4F" w:rsidRPr="00371F4F" w:rsidRDefault="00371F4F" w:rsidP="00371F4F">
            <w:pPr>
              <w:keepNext/>
              <w:widowControl/>
              <w:jc w:val="center"/>
            </w:pPr>
            <w:r w:rsidRPr="00371F4F">
              <w:rPr>
                <w:rFonts w:ascii="宋体" w:eastAsia="宋体" w:hAnsi="宋体" w:cs="宋体" w:hint="eastAsia"/>
              </w:rPr>
              <w:t>（</w:t>
            </w:r>
            <w:r w:rsidRPr="00371F4F">
              <w:t>a</w:t>
            </w:r>
            <w:r w:rsidRPr="00371F4F">
              <w:rPr>
                <w:rFonts w:ascii="宋体" w:eastAsia="宋体" w:hAnsi="宋体" w:cs="宋体" w:hint="eastAsia"/>
              </w:rPr>
              <w:t>）</w:t>
            </w:r>
            <w:r w:rsidRPr="00371F4F">
              <w:rPr>
                <w:rFonts w:ascii="楷体" w:eastAsia="楷体" w:hAnsi="楷体" w:hint="eastAsia"/>
              </w:rPr>
              <w:t>HV迭代图</w:t>
            </w:r>
          </w:p>
        </w:tc>
        <w:tc>
          <w:tcPr>
            <w:tcW w:w="2500" w:type="pct"/>
            <w:vAlign w:val="center"/>
            <w:hideMark/>
          </w:tcPr>
          <w:p w14:paraId="33D1710C" w14:textId="77777777" w:rsidR="00371F4F" w:rsidRPr="00371F4F" w:rsidRDefault="00371F4F" w:rsidP="00371F4F">
            <w:pPr>
              <w:keepNext/>
              <w:widowControl/>
              <w:jc w:val="center"/>
            </w:pPr>
            <w:r w:rsidRPr="00371F4F">
              <w:rPr>
                <w:rFonts w:ascii="宋体" w:eastAsia="宋体" w:hAnsi="宋体" w:cs="宋体" w:hint="eastAsia"/>
              </w:rPr>
              <w:t>（</w:t>
            </w:r>
            <w:r w:rsidRPr="00371F4F">
              <w:t>b</w:t>
            </w:r>
            <w:r w:rsidRPr="00371F4F">
              <w:rPr>
                <w:rFonts w:ascii="宋体" w:eastAsia="宋体" w:hAnsi="宋体" w:cs="宋体" w:hint="eastAsia"/>
              </w:rPr>
              <w:t>）</w:t>
            </w:r>
            <w:r w:rsidRPr="00371F4F">
              <w:rPr>
                <w:rFonts w:ascii="楷体" w:eastAsia="楷体" w:hAnsi="楷体" w:hint="eastAsia"/>
              </w:rPr>
              <w:t>帕累托前沿解集</w:t>
            </w:r>
          </w:p>
        </w:tc>
      </w:tr>
      <w:tr w:rsidR="00371F4F" w:rsidRPr="00371F4F" w14:paraId="1EC01864" w14:textId="77777777" w:rsidTr="00371F4F">
        <w:trPr>
          <w:trHeight w:val="283"/>
          <w:jc w:val="center"/>
        </w:trPr>
        <w:tc>
          <w:tcPr>
            <w:tcW w:w="2500" w:type="pct"/>
            <w:vAlign w:val="center"/>
            <w:hideMark/>
          </w:tcPr>
          <w:p w14:paraId="37A222F7" w14:textId="77777777" w:rsidR="00371F4F" w:rsidRPr="00371F4F" w:rsidRDefault="00371F4F" w:rsidP="00371F4F">
            <w:pPr>
              <w:keepNext/>
              <w:widowControl/>
              <w:jc w:val="center"/>
            </w:pPr>
            <w:r w:rsidRPr="00371F4F">
              <w:t>(a) HV convergence curve</w:t>
            </w:r>
          </w:p>
        </w:tc>
        <w:tc>
          <w:tcPr>
            <w:tcW w:w="2500" w:type="pct"/>
            <w:vAlign w:val="center"/>
            <w:hideMark/>
          </w:tcPr>
          <w:p w14:paraId="62241ED7" w14:textId="77777777" w:rsidR="00371F4F" w:rsidRPr="00371F4F" w:rsidRDefault="00371F4F" w:rsidP="00371F4F">
            <w:pPr>
              <w:keepNext/>
              <w:widowControl/>
              <w:jc w:val="center"/>
            </w:pPr>
            <w:r w:rsidRPr="00371F4F">
              <w:t>(b) Pareto front solution set</w:t>
            </w:r>
          </w:p>
        </w:tc>
      </w:tr>
    </w:tbl>
    <w:p w14:paraId="4A747896" w14:textId="77777777" w:rsidR="00371F4F" w:rsidRPr="00371F4F" w:rsidRDefault="00371F4F" w:rsidP="00371F4F">
      <w:pPr>
        <w:keepNext/>
        <w:widowControl/>
        <w:numPr>
          <w:ilvl w:val="3"/>
          <w:numId w:val="2"/>
        </w:numPr>
        <w:jc w:val="center"/>
        <w:rPr>
          <w:rFonts w:ascii="Times New Roman" w:eastAsia="楷体" w:hAnsi="Times New Roman" w:cs="Times New Roman"/>
          <w:szCs w:val="21"/>
        </w:rPr>
      </w:pPr>
      <w:r w:rsidRPr="00371F4F">
        <w:rPr>
          <w:rFonts w:ascii="楷体" w:eastAsia="楷体" w:hAnsi="楷体" w:cs="Times New Roman"/>
        </w:rPr>
        <w:t xml:space="preserve"> </w:t>
      </w:r>
      <w:bookmarkStart w:id="3" w:name="_Toc226053768"/>
      <w:r w:rsidRPr="00371F4F">
        <w:rPr>
          <w:rFonts w:ascii="楷体" w:eastAsia="楷体" w:hAnsi="楷体" w:cs="Times New Roman"/>
        </w:rPr>
        <w:t>20</w:t>
      </w:r>
      <w:r w:rsidRPr="00371F4F">
        <w:rPr>
          <w:rFonts w:ascii="楷体" w:eastAsia="楷体" w:hAnsi="楷体" w:cs="Times New Roman" w:hint="eastAsia"/>
        </w:rPr>
        <w:t>节点场景下解集和迭代效果对比</w:t>
      </w:r>
      <w:bookmarkEnd w:id="3"/>
    </w:p>
    <w:p w14:paraId="7142FE89" w14:textId="77777777" w:rsidR="00371F4F" w:rsidRPr="00371F4F" w:rsidRDefault="00371F4F" w:rsidP="00371F4F">
      <w:pPr>
        <w:widowControl/>
        <w:numPr>
          <w:ilvl w:val="4"/>
          <w:numId w:val="2"/>
        </w:numPr>
        <w:spacing w:afterLines="100" w:after="312"/>
        <w:jc w:val="center"/>
        <w:rPr>
          <w:rFonts w:ascii="楷体" w:eastAsia="楷体" w:hAnsi="楷体" w:cs="Times New Roman"/>
        </w:rPr>
      </w:pPr>
      <w:r w:rsidRPr="00371F4F">
        <w:rPr>
          <w:rFonts w:ascii="楷体" w:eastAsia="楷体" w:hAnsi="楷体" w:cs="Times New Roman"/>
        </w:rPr>
        <w:t>Comparison of solution sets and convergence performance in the 20-node scenario</w:t>
      </w:r>
    </w:p>
    <w:p w14:paraId="322BCB20"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在</w:t>
      </w:r>
      <w:r w:rsidRPr="00371F4F">
        <w:rPr>
          <w:rFonts w:ascii="Times New Roman" w:eastAsia="宋体" w:hAnsi="Times New Roman" w:cs="Times New Roman"/>
          <w:sz w:val="24"/>
          <w:szCs w:val="21"/>
          <w14:ligatures w14:val="none"/>
        </w:rPr>
        <w:t xml:space="preserve"> 25 </w:t>
      </w:r>
      <w:r w:rsidRPr="00371F4F">
        <w:rPr>
          <w:rFonts w:ascii="Times New Roman" w:eastAsia="宋体" w:hAnsi="Times New Roman" w:cs="Times New Roman" w:hint="eastAsia"/>
          <w:sz w:val="24"/>
          <w:szCs w:val="21"/>
          <w14:ligatures w14:val="none"/>
        </w:rPr>
        <w:t>节点的大规模场景下，决策变量达到</w:t>
      </w:r>
      <w:r w:rsidRPr="00371F4F">
        <w:rPr>
          <w:rFonts w:ascii="Times New Roman" w:eastAsia="宋体" w:hAnsi="Times New Roman" w:cs="Times New Roman"/>
          <w:sz w:val="24"/>
          <w:szCs w:val="21"/>
          <w14:ligatures w14:val="none"/>
        </w:rPr>
        <w:t xml:space="preserve"> 50 </w:t>
      </w:r>
      <w:r w:rsidRPr="00371F4F">
        <w:rPr>
          <w:rFonts w:ascii="Times New Roman" w:eastAsia="宋体" w:hAnsi="Times New Roman" w:cs="Times New Roman" w:hint="eastAsia"/>
          <w:sz w:val="24"/>
          <w:szCs w:val="21"/>
          <w14:ligatures w14:val="none"/>
        </w:rPr>
        <w:t>维，节点间连通关系耦合、建筑遮挡以及覆盖重叠的现象更为复杂，求解难度大幅度增加。如图</w:t>
      </w:r>
      <w:r w:rsidRPr="00371F4F">
        <w:rPr>
          <w:rFonts w:ascii="Times New Roman" w:eastAsia="宋体" w:hAnsi="Times New Roman" w:cs="Times New Roman"/>
          <w:sz w:val="24"/>
          <w:szCs w:val="21"/>
          <w14:ligatures w14:val="none"/>
        </w:rPr>
        <w:t>4-11</w:t>
      </w:r>
      <w:r w:rsidRPr="00371F4F">
        <w:rPr>
          <w:rFonts w:ascii="Times New Roman" w:eastAsia="宋体" w:hAnsi="Times New Roman" w:cs="Times New Roman" w:hint="eastAsia"/>
          <w:sz w:val="24"/>
          <w:szCs w:val="21"/>
          <w14:ligatures w14:val="none"/>
        </w:rPr>
        <w:t>所示，</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在该极端场景下依然展示出卓越的收敛鲁棒性。尽管在迭代后期，受限于过于严苛的物理空间约束，算法的跃升幅度有所放缓，但其求得的最终解集依然在连通性保障与区域覆盖最大化上取得了超过</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的均衡效果。传统算法在此规模下求得的解集难以逼近最优前沿，而本文算法通过引导节点扩大覆盖（</w:t>
      </w:r>
      <w:r w:rsidRPr="00371F4F">
        <w:rPr>
          <w:rFonts w:ascii="Times New Roman" w:eastAsia="宋体" w:hAnsi="Times New Roman" w:cs="Times New Roman"/>
          <w:sz w:val="24"/>
          <w:szCs w:val="21"/>
          <w14:ligatures w14:val="none"/>
        </w:rPr>
        <w:t xml:space="preserve">VCGO </w:t>
      </w:r>
      <w:r w:rsidRPr="00371F4F">
        <w:rPr>
          <w:rFonts w:ascii="Times New Roman" w:eastAsia="宋体" w:hAnsi="Times New Roman" w:cs="Times New Roman" w:hint="eastAsia"/>
          <w:sz w:val="24"/>
          <w:szCs w:val="21"/>
          <w14:ligatures w14:val="none"/>
        </w:rPr>
        <w:t>算子作用）并主动修复孤立集群（</w:t>
      </w:r>
      <w:r w:rsidRPr="00371F4F">
        <w:rPr>
          <w:rFonts w:ascii="Times New Roman" w:eastAsia="宋体" w:hAnsi="Times New Roman" w:cs="Times New Roman"/>
          <w:sz w:val="24"/>
          <w:szCs w:val="21"/>
          <w14:ligatures w14:val="none"/>
        </w:rPr>
        <w:t xml:space="preserve">DCGO </w:t>
      </w:r>
      <w:r w:rsidRPr="00371F4F">
        <w:rPr>
          <w:rFonts w:ascii="Times New Roman" w:eastAsia="宋体" w:hAnsi="Times New Roman" w:cs="Times New Roman" w:hint="eastAsia"/>
          <w:sz w:val="24"/>
          <w:szCs w:val="21"/>
          <w14:ligatures w14:val="none"/>
        </w:rPr>
        <w:t>算子作用），成功提高了高密度部署下的优化效果，显著提升了大规模集群的宏观协同效能。</w:t>
      </w:r>
    </w:p>
    <w:tbl>
      <w:tblPr>
        <w:tblStyle w:val="ad"/>
        <w:tblW w:w="5000" w:type="pct"/>
        <w:jc w:val="center"/>
        <w:tblInd w:w="0" w:type="dxa"/>
        <w:tblCellMar>
          <w:left w:w="0" w:type="dxa"/>
          <w:right w:w="0" w:type="dxa"/>
        </w:tblCellMar>
        <w:tblLook w:val="04A0" w:firstRow="1" w:lastRow="0" w:firstColumn="1" w:lastColumn="0" w:noHBand="0" w:noVBand="1"/>
      </w:tblPr>
      <w:tblGrid>
        <w:gridCol w:w="4153"/>
        <w:gridCol w:w="4153"/>
      </w:tblGrid>
      <w:tr w:rsidR="00371F4F" w:rsidRPr="00371F4F" w14:paraId="6B204BA6" w14:textId="77777777" w:rsidTr="00371F4F">
        <w:trPr>
          <w:trHeight w:val="283"/>
          <w:jc w:val="center"/>
        </w:trPr>
        <w:tc>
          <w:tcPr>
            <w:tcW w:w="2500" w:type="pct"/>
            <w:vAlign w:val="center"/>
            <w:hideMark/>
          </w:tcPr>
          <w:p w14:paraId="551C601E" w14:textId="77777777" w:rsidR="00371F4F" w:rsidRPr="00371F4F" w:rsidRDefault="00371F4F" w:rsidP="00371F4F">
            <w:pPr>
              <w:keepNext/>
              <w:widowControl/>
              <w:jc w:val="center"/>
            </w:pPr>
            <w:r w:rsidRPr="00371F4F">
              <w:rPr>
                <w:noProof/>
              </w:rPr>
              <w:lastRenderedPageBreak/>
              <w:drawing>
                <wp:inline distT="0" distB="0" distL="0" distR="0" wp14:anchorId="0CEC950F" wp14:editId="6B1F1007">
                  <wp:extent cx="2523490" cy="2000885"/>
                  <wp:effectExtent l="0" t="0" r="0" b="0"/>
                  <wp:docPr id="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c>
          <w:tcPr>
            <w:tcW w:w="2500" w:type="pct"/>
            <w:vAlign w:val="center"/>
            <w:hideMark/>
          </w:tcPr>
          <w:p w14:paraId="3CA04267" w14:textId="77777777" w:rsidR="00371F4F" w:rsidRPr="00371F4F" w:rsidRDefault="00371F4F" w:rsidP="00371F4F">
            <w:pPr>
              <w:keepNext/>
              <w:widowControl/>
              <w:jc w:val="center"/>
            </w:pPr>
            <w:r w:rsidRPr="00371F4F">
              <w:rPr>
                <w:noProof/>
              </w:rPr>
              <w:drawing>
                <wp:inline distT="0" distB="0" distL="0" distR="0" wp14:anchorId="21B6C37F" wp14:editId="7B76A8CA">
                  <wp:extent cx="2523490" cy="2000885"/>
                  <wp:effectExtent l="0" t="0" r="0" b="0"/>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3490" cy="2000885"/>
                          </a:xfrm>
                          <a:prstGeom prst="rect">
                            <a:avLst/>
                          </a:prstGeom>
                          <a:noFill/>
                          <a:ln>
                            <a:noFill/>
                          </a:ln>
                        </pic:spPr>
                      </pic:pic>
                    </a:graphicData>
                  </a:graphic>
                </wp:inline>
              </w:drawing>
            </w:r>
          </w:p>
        </w:tc>
      </w:tr>
      <w:tr w:rsidR="00371F4F" w:rsidRPr="00371F4F" w14:paraId="1B28F258" w14:textId="77777777" w:rsidTr="00371F4F">
        <w:trPr>
          <w:trHeight w:val="283"/>
          <w:jc w:val="center"/>
        </w:trPr>
        <w:tc>
          <w:tcPr>
            <w:tcW w:w="2500" w:type="pct"/>
            <w:vAlign w:val="center"/>
            <w:hideMark/>
          </w:tcPr>
          <w:p w14:paraId="5102FE2A" w14:textId="77777777" w:rsidR="00371F4F" w:rsidRPr="00371F4F" w:rsidRDefault="00371F4F" w:rsidP="00371F4F">
            <w:pPr>
              <w:keepNext/>
              <w:widowControl/>
              <w:jc w:val="center"/>
            </w:pPr>
            <w:r w:rsidRPr="00371F4F">
              <w:rPr>
                <w:rFonts w:ascii="宋体" w:eastAsia="宋体" w:hAnsi="宋体" w:cs="宋体" w:hint="eastAsia"/>
              </w:rPr>
              <w:t>（</w:t>
            </w:r>
            <w:r w:rsidRPr="00371F4F">
              <w:t>a</w:t>
            </w:r>
            <w:r w:rsidRPr="00371F4F">
              <w:rPr>
                <w:rFonts w:ascii="宋体" w:eastAsia="宋体" w:hAnsi="宋体" w:cs="宋体" w:hint="eastAsia"/>
              </w:rPr>
              <w:t>）</w:t>
            </w:r>
            <w:r w:rsidRPr="00371F4F">
              <w:rPr>
                <w:rFonts w:ascii="楷体" w:eastAsia="楷体" w:hAnsi="楷体" w:hint="eastAsia"/>
              </w:rPr>
              <w:t>HV迭代图</w:t>
            </w:r>
          </w:p>
        </w:tc>
        <w:tc>
          <w:tcPr>
            <w:tcW w:w="2500" w:type="pct"/>
            <w:vAlign w:val="center"/>
            <w:hideMark/>
          </w:tcPr>
          <w:p w14:paraId="7ADD6998" w14:textId="77777777" w:rsidR="00371F4F" w:rsidRPr="00371F4F" w:rsidRDefault="00371F4F" w:rsidP="00371F4F">
            <w:pPr>
              <w:keepNext/>
              <w:widowControl/>
              <w:jc w:val="center"/>
            </w:pPr>
            <w:r w:rsidRPr="00371F4F">
              <w:rPr>
                <w:rFonts w:ascii="宋体" w:eastAsia="宋体" w:hAnsi="宋体" w:cs="宋体" w:hint="eastAsia"/>
              </w:rPr>
              <w:t>（</w:t>
            </w:r>
            <w:r w:rsidRPr="00371F4F">
              <w:t>b</w:t>
            </w:r>
            <w:r w:rsidRPr="00371F4F">
              <w:rPr>
                <w:rFonts w:ascii="宋体" w:eastAsia="宋体" w:hAnsi="宋体" w:cs="宋体" w:hint="eastAsia"/>
              </w:rPr>
              <w:t>）</w:t>
            </w:r>
            <w:r w:rsidRPr="00371F4F">
              <w:rPr>
                <w:rFonts w:ascii="楷体" w:eastAsia="楷体" w:hAnsi="楷体" w:hint="eastAsia"/>
              </w:rPr>
              <w:t>帕累托前沿解集</w:t>
            </w:r>
          </w:p>
        </w:tc>
      </w:tr>
      <w:tr w:rsidR="00371F4F" w:rsidRPr="00371F4F" w14:paraId="24CBCD83" w14:textId="77777777" w:rsidTr="00371F4F">
        <w:trPr>
          <w:trHeight w:val="283"/>
          <w:jc w:val="center"/>
        </w:trPr>
        <w:tc>
          <w:tcPr>
            <w:tcW w:w="2500" w:type="pct"/>
            <w:vAlign w:val="center"/>
            <w:hideMark/>
          </w:tcPr>
          <w:p w14:paraId="0CE5D2D8" w14:textId="77777777" w:rsidR="00371F4F" w:rsidRPr="00371F4F" w:rsidRDefault="00371F4F" w:rsidP="00371F4F">
            <w:pPr>
              <w:keepNext/>
              <w:widowControl/>
              <w:jc w:val="center"/>
            </w:pPr>
            <w:r w:rsidRPr="00371F4F">
              <w:t>(a) HV convergence curve</w:t>
            </w:r>
          </w:p>
        </w:tc>
        <w:tc>
          <w:tcPr>
            <w:tcW w:w="2500" w:type="pct"/>
            <w:vAlign w:val="center"/>
            <w:hideMark/>
          </w:tcPr>
          <w:p w14:paraId="67D656C6" w14:textId="77777777" w:rsidR="00371F4F" w:rsidRPr="00371F4F" w:rsidRDefault="00371F4F" w:rsidP="00371F4F">
            <w:pPr>
              <w:keepNext/>
              <w:widowControl/>
              <w:jc w:val="center"/>
            </w:pPr>
            <w:r w:rsidRPr="00371F4F">
              <w:t>(b) Pareto front solution set</w:t>
            </w:r>
          </w:p>
        </w:tc>
      </w:tr>
    </w:tbl>
    <w:p w14:paraId="3997DD6D" w14:textId="77777777" w:rsidR="00371F4F" w:rsidRPr="00371F4F" w:rsidRDefault="00371F4F" w:rsidP="00371F4F">
      <w:pPr>
        <w:keepNext/>
        <w:widowControl/>
        <w:numPr>
          <w:ilvl w:val="3"/>
          <w:numId w:val="2"/>
        </w:numPr>
        <w:jc w:val="center"/>
        <w:rPr>
          <w:rFonts w:ascii="Times New Roman" w:eastAsia="楷体" w:hAnsi="Times New Roman" w:cs="Times New Roman"/>
          <w:szCs w:val="21"/>
        </w:rPr>
      </w:pPr>
      <w:r w:rsidRPr="00371F4F">
        <w:rPr>
          <w:rFonts w:ascii="楷体" w:eastAsia="楷体" w:hAnsi="楷体" w:cs="Times New Roman"/>
        </w:rPr>
        <w:t xml:space="preserve"> </w:t>
      </w:r>
      <w:bookmarkStart w:id="4" w:name="_Toc226053769"/>
      <w:r w:rsidRPr="00371F4F">
        <w:rPr>
          <w:rFonts w:ascii="楷体" w:eastAsia="楷体" w:hAnsi="楷体" w:cs="Times New Roman"/>
        </w:rPr>
        <w:t>25</w:t>
      </w:r>
      <w:r w:rsidRPr="00371F4F">
        <w:rPr>
          <w:rFonts w:ascii="楷体" w:eastAsia="楷体" w:hAnsi="楷体" w:cs="Times New Roman" w:hint="eastAsia"/>
        </w:rPr>
        <w:t>节点场景下解集和迭代效果对比</w:t>
      </w:r>
      <w:bookmarkEnd w:id="4"/>
    </w:p>
    <w:p w14:paraId="12167957" w14:textId="77777777" w:rsidR="00371F4F" w:rsidRPr="00371F4F" w:rsidRDefault="00371F4F" w:rsidP="00371F4F">
      <w:pPr>
        <w:widowControl/>
        <w:numPr>
          <w:ilvl w:val="4"/>
          <w:numId w:val="2"/>
        </w:numPr>
        <w:spacing w:afterLines="100" w:after="312"/>
        <w:jc w:val="center"/>
        <w:rPr>
          <w:rFonts w:ascii="楷体" w:eastAsia="楷体" w:hAnsi="楷体" w:cs="Times New Roman"/>
        </w:rPr>
      </w:pPr>
    </w:p>
    <w:p w14:paraId="0339B0D0"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进一步地为定量全面地评估解集质量，表</w:t>
      </w:r>
      <w:r w:rsidRPr="00371F4F">
        <w:rPr>
          <w:rFonts w:ascii="Times New Roman" w:eastAsia="宋体" w:hAnsi="Times New Roman" w:cs="Times New Roman"/>
          <w:sz w:val="24"/>
          <w:szCs w:val="21"/>
          <w14:ligatures w14:val="none"/>
        </w:rPr>
        <w:t xml:space="preserve"> 4-3</w:t>
      </w:r>
      <w:r w:rsidRPr="00371F4F">
        <w:rPr>
          <w:rFonts w:ascii="Times New Roman" w:eastAsia="宋体" w:hAnsi="Times New Roman" w:cs="Times New Roman" w:hint="eastAsia"/>
          <w:sz w:val="24"/>
          <w:szCs w:val="21"/>
          <w14:ligatures w14:val="none"/>
        </w:rPr>
        <w:t>详细列出了两种算法在各场景下运行结束后的前沿解集数目（</w:t>
      </w:r>
      <w:r w:rsidRPr="00371F4F">
        <w:rPr>
          <w:rFonts w:ascii="Times New Roman" w:eastAsia="宋体" w:hAnsi="Times New Roman" w:cs="Times New Roman"/>
          <w:sz w:val="24"/>
          <w:szCs w:val="21"/>
          <w14:ligatures w14:val="none"/>
        </w:rPr>
        <w:t>N</w:t>
      </w:r>
      <w:r w:rsidRPr="00371F4F">
        <w:rPr>
          <w:rFonts w:ascii="Times New Roman" w:eastAsia="宋体" w:hAnsi="Times New Roman" w:cs="Times New Roman" w:hint="eastAsia"/>
          <w:sz w:val="24"/>
          <w:szCs w:val="21"/>
          <w14:ligatures w14:val="none"/>
        </w:rPr>
        <w:t>）、超体积（</w:t>
      </w:r>
      <w:r w:rsidRPr="00371F4F">
        <w:rPr>
          <w:rFonts w:ascii="Times New Roman" w:eastAsia="宋体" w:hAnsi="Times New Roman" w:cs="Times New Roman"/>
          <w:sz w:val="24"/>
          <w:szCs w:val="21"/>
          <w14:ligatures w14:val="none"/>
        </w:rPr>
        <w:t>HV</w:t>
      </w:r>
      <w:r w:rsidRPr="00371F4F">
        <w:rPr>
          <w:rFonts w:ascii="Times New Roman" w:eastAsia="宋体" w:hAnsi="Times New Roman" w:cs="Times New Roman" w:hint="eastAsia"/>
          <w:sz w:val="24"/>
          <w:szCs w:val="21"/>
          <w14:ligatures w14:val="none"/>
        </w:rPr>
        <w:t>）、分布广度（</w:t>
      </w:r>
      <w:r w:rsidRPr="00371F4F">
        <w:rPr>
          <w:rFonts w:ascii="Times New Roman" w:eastAsia="宋体" w:hAnsi="Times New Roman" w:cs="Times New Roman"/>
          <w:sz w:val="24"/>
          <w:szCs w:val="21"/>
          <w14:ligatures w14:val="none"/>
        </w:rPr>
        <w:t xml:space="preserve">Spread, </w:t>
      </w:r>
      <w:r w:rsidRPr="00371F4F">
        <w:rPr>
          <w:rFonts w:ascii="Times New Roman" w:eastAsia="宋体" w:hAnsi="Times New Roman" w:cs="Times New Roman" w:hint="eastAsia"/>
          <w:sz w:val="24"/>
          <w:szCs w:val="21"/>
          <w14:ligatures w14:val="none"/>
        </w:rPr>
        <w:t>Δ）与空间分布评价（</w:t>
      </w:r>
      <w:r w:rsidRPr="00371F4F">
        <w:rPr>
          <w:rFonts w:ascii="Times New Roman" w:eastAsia="宋体" w:hAnsi="Times New Roman" w:cs="Times New Roman"/>
          <w:sz w:val="24"/>
          <w:szCs w:val="21"/>
          <w14:ligatures w14:val="none"/>
        </w:rPr>
        <w:t>Spacing, S</w:t>
      </w:r>
      <w:r w:rsidRPr="00371F4F">
        <w:rPr>
          <w:rFonts w:ascii="Times New Roman" w:eastAsia="宋体" w:hAnsi="Times New Roman" w:cs="Times New Roman" w:hint="eastAsia"/>
          <w:sz w:val="24"/>
          <w:szCs w:val="21"/>
          <w14:ligatures w14:val="none"/>
        </w:rPr>
        <w:t>）。</w:t>
      </w:r>
    </w:p>
    <w:p w14:paraId="5740C380" w14:textId="77777777" w:rsidR="00371F4F" w:rsidRPr="00371F4F" w:rsidRDefault="00371F4F" w:rsidP="00371F4F">
      <w:pPr>
        <w:keepNext/>
        <w:widowControl/>
        <w:numPr>
          <w:ilvl w:val="5"/>
          <w:numId w:val="2"/>
        </w:numPr>
        <w:spacing w:beforeLines="100" w:before="312"/>
        <w:jc w:val="center"/>
        <w:rPr>
          <w:rFonts w:ascii="楷体" w:eastAsia="楷体" w:hAnsi="楷体" w:cs="Times New Roman"/>
        </w:rPr>
      </w:pPr>
      <w:bookmarkStart w:id="5" w:name="_Toc226053776"/>
      <w:r w:rsidRPr="00371F4F">
        <w:rPr>
          <w:rFonts w:ascii="楷体" w:eastAsia="楷体" w:hAnsi="楷体" w:cs="Times New Roman" w:hint="eastAsia"/>
        </w:rPr>
        <w:t>不同节点规模下性能指标对比</w:t>
      </w:r>
      <w:bookmarkEnd w:id="5"/>
    </w:p>
    <w:p w14:paraId="6A98D839" w14:textId="77777777" w:rsidR="00371F4F" w:rsidRPr="00371F4F" w:rsidRDefault="00371F4F" w:rsidP="00371F4F">
      <w:pPr>
        <w:keepNext/>
        <w:widowControl/>
        <w:numPr>
          <w:ilvl w:val="6"/>
          <w:numId w:val="2"/>
        </w:numPr>
        <w:jc w:val="center"/>
        <w:rPr>
          <w:rFonts w:ascii="Times New Roman" w:eastAsia="楷体" w:hAnsi="Times New Roman" w:cs="Times New Roman"/>
          <w:szCs w:val="21"/>
          <w14:ligatures w14:val="none"/>
        </w:rPr>
      </w:pPr>
      <w:r w:rsidRPr="00371F4F">
        <w:rPr>
          <w:rFonts w:ascii="Times New Roman" w:eastAsia="楷体" w:hAnsi="Times New Roman" w:cs="Times New Roman"/>
          <w:szCs w:val="21"/>
          <w14:ligatures w14:val="none"/>
        </w:rPr>
        <w:t>Comparison of metrics under different node scales</w:t>
      </w:r>
    </w:p>
    <w:tbl>
      <w:tblPr>
        <w:tblStyle w:val="ac"/>
        <w:tblW w:w="0" w:type="auto"/>
        <w:jc w:val="center"/>
        <w:tblInd w:w="0" w:type="dxa"/>
        <w:tblLook w:val="04A0" w:firstRow="1" w:lastRow="0" w:firstColumn="1" w:lastColumn="0" w:noHBand="0" w:noVBand="1"/>
      </w:tblPr>
      <w:tblGrid>
        <w:gridCol w:w="851"/>
        <w:gridCol w:w="1700"/>
        <w:gridCol w:w="1132"/>
        <w:gridCol w:w="1512"/>
        <w:gridCol w:w="1512"/>
        <w:gridCol w:w="1512"/>
      </w:tblGrid>
      <w:tr w:rsidR="00371F4F" w:rsidRPr="00371F4F" w14:paraId="1EF79C45" w14:textId="77777777" w:rsidTr="00371F4F">
        <w:trPr>
          <w:cnfStyle w:val="100000000000" w:firstRow="1" w:lastRow="0" w:firstColumn="0" w:lastColumn="0" w:oddVBand="0" w:evenVBand="0" w:oddHBand="0" w:evenHBand="0" w:firstRowFirstColumn="0" w:firstRowLastColumn="0" w:lastRowFirstColumn="0" w:lastRowLastColumn="0"/>
          <w:jc w:val="center"/>
        </w:trPr>
        <w:tc>
          <w:tcPr>
            <w:tcW w:w="851" w:type="dxa"/>
            <w:hideMark/>
          </w:tcPr>
          <w:p w14:paraId="04ABE192" w14:textId="77777777" w:rsidR="00371F4F" w:rsidRPr="00371F4F" w:rsidRDefault="00371F4F" w:rsidP="00371F4F">
            <w:pPr>
              <w:keepNext/>
              <w:widowControl/>
              <w:jc w:val="center"/>
            </w:pPr>
            <w:r w:rsidRPr="00371F4F">
              <w:rPr>
                <w:rFonts w:hint="eastAsia"/>
              </w:rPr>
              <w:t>节点数</w:t>
            </w:r>
          </w:p>
        </w:tc>
        <w:tc>
          <w:tcPr>
            <w:tcW w:w="1700" w:type="dxa"/>
            <w:hideMark/>
          </w:tcPr>
          <w:p w14:paraId="50F94FDE" w14:textId="77777777" w:rsidR="00371F4F" w:rsidRPr="00371F4F" w:rsidRDefault="00371F4F" w:rsidP="00371F4F">
            <w:pPr>
              <w:keepNext/>
              <w:widowControl/>
              <w:jc w:val="center"/>
            </w:pPr>
            <w:r w:rsidRPr="00371F4F">
              <w:rPr>
                <w:rFonts w:hint="eastAsia"/>
              </w:rPr>
              <w:t>算法</w:t>
            </w:r>
          </w:p>
        </w:tc>
        <w:tc>
          <w:tcPr>
            <w:tcW w:w="1132" w:type="dxa"/>
            <w:hideMark/>
          </w:tcPr>
          <w:p w14:paraId="0779C979" w14:textId="77777777" w:rsidR="00371F4F" w:rsidRPr="00371F4F" w:rsidRDefault="00371F4F" w:rsidP="00371F4F">
            <w:pPr>
              <w:keepNext/>
              <w:widowControl/>
              <w:jc w:val="center"/>
            </w:pPr>
            <w:r w:rsidRPr="00371F4F">
              <w:t>N</w:t>
            </w:r>
          </w:p>
        </w:tc>
        <w:tc>
          <w:tcPr>
            <w:tcW w:w="1512" w:type="dxa"/>
            <w:hideMark/>
          </w:tcPr>
          <w:p w14:paraId="6632E7EB" w14:textId="77777777" w:rsidR="00371F4F" w:rsidRPr="00371F4F" w:rsidRDefault="00371F4F" w:rsidP="00371F4F">
            <w:pPr>
              <w:keepNext/>
              <w:widowControl/>
              <w:jc w:val="center"/>
            </w:pPr>
            <w:r w:rsidRPr="00371F4F">
              <w:t>HV</w:t>
            </w:r>
          </w:p>
        </w:tc>
        <w:tc>
          <w:tcPr>
            <w:tcW w:w="1512" w:type="dxa"/>
            <w:hideMark/>
          </w:tcPr>
          <w:p w14:paraId="49F80EB8" w14:textId="77777777" w:rsidR="00371F4F" w:rsidRPr="00371F4F" w:rsidRDefault="00371F4F" w:rsidP="00371F4F">
            <w:pPr>
              <w:keepNext/>
              <w:widowControl/>
              <w:jc w:val="center"/>
            </w:pPr>
            <w:r w:rsidRPr="00371F4F">
              <w:t>Spread(</w:t>
            </w:r>
            <w:r w:rsidRPr="00371F4F">
              <w:rPr>
                <w:rFonts w:hint="eastAsia"/>
              </w:rPr>
              <w:t>Δ</w:t>
            </w:r>
            <w:r w:rsidRPr="00371F4F">
              <w:t>)</w:t>
            </w:r>
          </w:p>
        </w:tc>
        <w:tc>
          <w:tcPr>
            <w:tcW w:w="1512" w:type="dxa"/>
            <w:hideMark/>
          </w:tcPr>
          <w:p w14:paraId="4C597558" w14:textId="77777777" w:rsidR="00371F4F" w:rsidRPr="00371F4F" w:rsidRDefault="00371F4F" w:rsidP="00371F4F">
            <w:pPr>
              <w:keepNext/>
              <w:widowControl/>
              <w:jc w:val="center"/>
            </w:pPr>
            <w:r w:rsidRPr="00371F4F">
              <w:t>Spacing(S)</w:t>
            </w:r>
          </w:p>
        </w:tc>
      </w:tr>
      <w:tr w:rsidR="00371F4F" w:rsidRPr="00371F4F" w14:paraId="27D8D479" w14:textId="77777777" w:rsidTr="00371F4F">
        <w:trPr>
          <w:jc w:val="center"/>
        </w:trPr>
        <w:tc>
          <w:tcPr>
            <w:tcW w:w="851" w:type="dxa"/>
            <w:tcBorders>
              <w:top w:val="nil"/>
              <w:left w:val="nil"/>
              <w:bottom w:val="nil"/>
              <w:right w:val="nil"/>
            </w:tcBorders>
            <w:hideMark/>
          </w:tcPr>
          <w:p w14:paraId="1C32BABE" w14:textId="77777777" w:rsidR="00371F4F" w:rsidRPr="00371F4F" w:rsidRDefault="00371F4F" w:rsidP="00371F4F">
            <w:pPr>
              <w:keepNext/>
              <w:widowControl/>
              <w:jc w:val="center"/>
            </w:pPr>
            <w:r w:rsidRPr="00371F4F">
              <w:t>15</w:t>
            </w:r>
          </w:p>
        </w:tc>
        <w:tc>
          <w:tcPr>
            <w:tcW w:w="1700" w:type="dxa"/>
            <w:tcBorders>
              <w:top w:val="nil"/>
              <w:left w:val="nil"/>
              <w:bottom w:val="nil"/>
              <w:right w:val="nil"/>
            </w:tcBorders>
            <w:hideMark/>
          </w:tcPr>
          <w:p w14:paraId="6132BCED" w14:textId="77777777" w:rsidR="00371F4F" w:rsidRPr="00371F4F" w:rsidRDefault="00371F4F" w:rsidP="00371F4F">
            <w:pPr>
              <w:keepNext/>
              <w:widowControl/>
              <w:jc w:val="center"/>
            </w:pPr>
            <w:r w:rsidRPr="00371F4F">
              <w:t>MPG-NSGA-II</w:t>
            </w:r>
          </w:p>
        </w:tc>
        <w:tc>
          <w:tcPr>
            <w:tcW w:w="1132" w:type="dxa"/>
            <w:tcBorders>
              <w:top w:val="nil"/>
              <w:left w:val="nil"/>
              <w:bottom w:val="nil"/>
              <w:right w:val="nil"/>
            </w:tcBorders>
            <w:hideMark/>
          </w:tcPr>
          <w:p w14:paraId="7286A8E3" w14:textId="77777777" w:rsidR="00371F4F" w:rsidRPr="00371F4F" w:rsidRDefault="00371F4F" w:rsidP="00371F4F">
            <w:pPr>
              <w:keepNext/>
              <w:widowControl/>
              <w:jc w:val="center"/>
            </w:pPr>
            <w:r w:rsidRPr="00371F4F">
              <w:t>75</w:t>
            </w:r>
          </w:p>
        </w:tc>
        <w:tc>
          <w:tcPr>
            <w:tcW w:w="1512" w:type="dxa"/>
            <w:tcBorders>
              <w:top w:val="nil"/>
              <w:left w:val="nil"/>
              <w:bottom w:val="nil"/>
              <w:right w:val="nil"/>
            </w:tcBorders>
            <w:hideMark/>
          </w:tcPr>
          <w:p w14:paraId="3309EFAC" w14:textId="77777777" w:rsidR="00371F4F" w:rsidRPr="00371F4F" w:rsidRDefault="00371F4F" w:rsidP="00371F4F">
            <w:pPr>
              <w:keepNext/>
              <w:widowControl/>
              <w:jc w:val="center"/>
            </w:pPr>
            <w:r w:rsidRPr="00371F4F">
              <w:t>0.930917</w:t>
            </w:r>
          </w:p>
        </w:tc>
        <w:tc>
          <w:tcPr>
            <w:tcW w:w="1512" w:type="dxa"/>
            <w:tcBorders>
              <w:top w:val="nil"/>
              <w:left w:val="nil"/>
              <w:bottom w:val="nil"/>
              <w:right w:val="nil"/>
            </w:tcBorders>
            <w:hideMark/>
          </w:tcPr>
          <w:p w14:paraId="1F3C5FD8" w14:textId="77777777" w:rsidR="00371F4F" w:rsidRPr="00371F4F" w:rsidRDefault="00371F4F" w:rsidP="00371F4F">
            <w:pPr>
              <w:keepNext/>
              <w:widowControl/>
              <w:jc w:val="center"/>
            </w:pPr>
            <w:r w:rsidRPr="00371F4F">
              <w:t>0.967244</w:t>
            </w:r>
          </w:p>
        </w:tc>
        <w:tc>
          <w:tcPr>
            <w:tcW w:w="1512" w:type="dxa"/>
            <w:tcBorders>
              <w:top w:val="nil"/>
              <w:left w:val="nil"/>
              <w:bottom w:val="nil"/>
              <w:right w:val="nil"/>
            </w:tcBorders>
            <w:hideMark/>
          </w:tcPr>
          <w:p w14:paraId="6A35AA72" w14:textId="77777777" w:rsidR="00371F4F" w:rsidRPr="00371F4F" w:rsidRDefault="00371F4F" w:rsidP="00371F4F">
            <w:pPr>
              <w:keepNext/>
              <w:widowControl/>
              <w:jc w:val="center"/>
            </w:pPr>
            <w:r w:rsidRPr="00371F4F">
              <w:t>0.015991</w:t>
            </w:r>
          </w:p>
        </w:tc>
      </w:tr>
      <w:tr w:rsidR="00371F4F" w:rsidRPr="00371F4F" w14:paraId="55B14098" w14:textId="77777777" w:rsidTr="00371F4F">
        <w:trPr>
          <w:jc w:val="center"/>
        </w:trPr>
        <w:tc>
          <w:tcPr>
            <w:tcW w:w="851" w:type="dxa"/>
            <w:tcBorders>
              <w:top w:val="nil"/>
              <w:left w:val="nil"/>
              <w:bottom w:val="nil"/>
              <w:right w:val="nil"/>
            </w:tcBorders>
            <w:hideMark/>
          </w:tcPr>
          <w:p w14:paraId="445BDF81" w14:textId="77777777" w:rsidR="00371F4F" w:rsidRPr="00371F4F" w:rsidRDefault="00371F4F" w:rsidP="00371F4F">
            <w:pPr>
              <w:keepNext/>
              <w:widowControl/>
              <w:jc w:val="center"/>
            </w:pPr>
            <w:r w:rsidRPr="00371F4F">
              <w:t>15</w:t>
            </w:r>
          </w:p>
        </w:tc>
        <w:tc>
          <w:tcPr>
            <w:tcW w:w="1700" w:type="dxa"/>
            <w:tcBorders>
              <w:top w:val="nil"/>
              <w:left w:val="nil"/>
              <w:bottom w:val="nil"/>
              <w:right w:val="nil"/>
            </w:tcBorders>
            <w:hideMark/>
          </w:tcPr>
          <w:p w14:paraId="139A1E86" w14:textId="77777777" w:rsidR="00371F4F" w:rsidRPr="00371F4F" w:rsidRDefault="00371F4F" w:rsidP="00371F4F">
            <w:pPr>
              <w:keepNext/>
              <w:widowControl/>
              <w:jc w:val="center"/>
            </w:pPr>
            <w:r w:rsidRPr="00371F4F">
              <w:t>NSGA-II</w:t>
            </w:r>
          </w:p>
        </w:tc>
        <w:tc>
          <w:tcPr>
            <w:tcW w:w="1132" w:type="dxa"/>
            <w:tcBorders>
              <w:top w:val="nil"/>
              <w:left w:val="nil"/>
              <w:bottom w:val="nil"/>
              <w:right w:val="nil"/>
            </w:tcBorders>
            <w:hideMark/>
          </w:tcPr>
          <w:p w14:paraId="1A91B92C" w14:textId="77777777" w:rsidR="00371F4F" w:rsidRPr="00371F4F" w:rsidRDefault="00371F4F" w:rsidP="00371F4F">
            <w:pPr>
              <w:keepNext/>
              <w:widowControl/>
              <w:jc w:val="center"/>
            </w:pPr>
            <w:r w:rsidRPr="00371F4F">
              <w:t>85</w:t>
            </w:r>
          </w:p>
        </w:tc>
        <w:tc>
          <w:tcPr>
            <w:tcW w:w="1512" w:type="dxa"/>
            <w:tcBorders>
              <w:top w:val="nil"/>
              <w:left w:val="nil"/>
              <w:bottom w:val="nil"/>
              <w:right w:val="nil"/>
            </w:tcBorders>
            <w:hideMark/>
          </w:tcPr>
          <w:p w14:paraId="63799331" w14:textId="77777777" w:rsidR="00371F4F" w:rsidRPr="00371F4F" w:rsidRDefault="00371F4F" w:rsidP="00371F4F">
            <w:pPr>
              <w:keepNext/>
              <w:widowControl/>
              <w:jc w:val="center"/>
            </w:pPr>
            <w:r w:rsidRPr="00371F4F">
              <w:t>0.847761</w:t>
            </w:r>
          </w:p>
        </w:tc>
        <w:tc>
          <w:tcPr>
            <w:tcW w:w="1512" w:type="dxa"/>
            <w:tcBorders>
              <w:top w:val="nil"/>
              <w:left w:val="nil"/>
              <w:bottom w:val="nil"/>
              <w:right w:val="nil"/>
            </w:tcBorders>
            <w:hideMark/>
          </w:tcPr>
          <w:p w14:paraId="4A10A035" w14:textId="77777777" w:rsidR="00371F4F" w:rsidRPr="00371F4F" w:rsidRDefault="00371F4F" w:rsidP="00371F4F">
            <w:pPr>
              <w:keepNext/>
              <w:widowControl/>
              <w:jc w:val="center"/>
            </w:pPr>
            <w:r w:rsidRPr="00371F4F">
              <w:t>0.983063</w:t>
            </w:r>
          </w:p>
        </w:tc>
        <w:tc>
          <w:tcPr>
            <w:tcW w:w="1512" w:type="dxa"/>
            <w:tcBorders>
              <w:top w:val="nil"/>
              <w:left w:val="nil"/>
              <w:bottom w:val="nil"/>
              <w:right w:val="nil"/>
            </w:tcBorders>
            <w:hideMark/>
          </w:tcPr>
          <w:p w14:paraId="7ADEF02F" w14:textId="77777777" w:rsidR="00371F4F" w:rsidRPr="00371F4F" w:rsidRDefault="00371F4F" w:rsidP="00371F4F">
            <w:pPr>
              <w:keepNext/>
              <w:widowControl/>
              <w:jc w:val="center"/>
            </w:pPr>
            <w:r w:rsidRPr="00371F4F">
              <w:t>0.016084</w:t>
            </w:r>
          </w:p>
        </w:tc>
      </w:tr>
      <w:tr w:rsidR="00371F4F" w:rsidRPr="00371F4F" w14:paraId="5CCA48F3" w14:textId="77777777" w:rsidTr="00371F4F">
        <w:trPr>
          <w:jc w:val="center"/>
        </w:trPr>
        <w:tc>
          <w:tcPr>
            <w:tcW w:w="851" w:type="dxa"/>
            <w:tcBorders>
              <w:top w:val="nil"/>
              <w:left w:val="nil"/>
              <w:bottom w:val="nil"/>
              <w:right w:val="nil"/>
            </w:tcBorders>
            <w:hideMark/>
          </w:tcPr>
          <w:p w14:paraId="0C07FB70" w14:textId="77777777" w:rsidR="00371F4F" w:rsidRPr="00371F4F" w:rsidRDefault="00371F4F" w:rsidP="00371F4F">
            <w:pPr>
              <w:keepNext/>
              <w:widowControl/>
              <w:jc w:val="center"/>
            </w:pPr>
            <w:r w:rsidRPr="00371F4F">
              <w:t>20</w:t>
            </w:r>
          </w:p>
        </w:tc>
        <w:tc>
          <w:tcPr>
            <w:tcW w:w="1700" w:type="dxa"/>
            <w:tcBorders>
              <w:top w:val="nil"/>
              <w:left w:val="nil"/>
              <w:bottom w:val="nil"/>
              <w:right w:val="nil"/>
            </w:tcBorders>
            <w:hideMark/>
          </w:tcPr>
          <w:p w14:paraId="2945A09A" w14:textId="77777777" w:rsidR="00371F4F" w:rsidRPr="00371F4F" w:rsidRDefault="00371F4F" w:rsidP="00371F4F">
            <w:pPr>
              <w:keepNext/>
              <w:widowControl/>
              <w:jc w:val="center"/>
            </w:pPr>
            <w:r w:rsidRPr="00371F4F">
              <w:t>MPG-NSGA-II</w:t>
            </w:r>
          </w:p>
        </w:tc>
        <w:tc>
          <w:tcPr>
            <w:tcW w:w="1132" w:type="dxa"/>
            <w:tcBorders>
              <w:top w:val="nil"/>
              <w:left w:val="nil"/>
              <w:bottom w:val="nil"/>
              <w:right w:val="nil"/>
            </w:tcBorders>
            <w:hideMark/>
          </w:tcPr>
          <w:p w14:paraId="6F2EEE29" w14:textId="77777777" w:rsidR="00371F4F" w:rsidRPr="00371F4F" w:rsidRDefault="00371F4F" w:rsidP="00371F4F">
            <w:pPr>
              <w:keepNext/>
              <w:widowControl/>
              <w:jc w:val="center"/>
            </w:pPr>
            <w:r w:rsidRPr="00371F4F">
              <w:t>143</w:t>
            </w:r>
          </w:p>
        </w:tc>
        <w:tc>
          <w:tcPr>
            <w:tcW w:w="1512" w:type="dxa"/>
            <w:tcBorders>
              <w:top w:val="nil"/>
              <w:left w:val="nil"/>
              <w:bottom w:val="nil"/>
              <w:right w:val="nil"/>
            </w:tcBorders>
            <w:hideMark/>
          </w:tcPr>
          <w:p w14:paraId="7673A044" w14:textId="77777777" w:rsidR="00371F4F" w:rsidRPr="00371F4F" w:rsidRDefault="00371F4F" w:rsidP="00371F4F">
            <w:pPr>
              <w:keepNext/>
              <w:widowControl/>
              <w:jc w:val="center"/>
            </w:pPr>
            <w:r w:rsidRPr="00371F4F">
              <w:t>0.911168</w:t>
            </w:r>
          </w:p>
        </w:tc>
        <w:tc>
          <w:tcPr>
            <w:tcW w:w="1512" w:type="dxa"/>
            <w:tcBorders>
              <w:top w:val="nil"/>
              <w:left w:val="nil"/>
              <w:bottom w:val="nil"/>
              <w:right w:val="nil"/>
            </w:tcBorders>
            <w:hideMark/>
          </w:tcPr>
          <w:p w14:paraId="4CD836D4" w14:textId="77777777" w:rsidR="00371F4F" w:rsidRPr="00371F4F" w:rsidRDefault="00371F4F" w:rsidP="00371F4F">
            <w:pPr>
              <w:keepNext/>
              <w:widowControl/>
              <w:jc w:val="center"/>
            </w:pPr>
            <w:r w:rsidRPr="00371F4F">
              <w:t>0.947098</w:t>
            </w:r>
          </w:p>
        </w:tc>
        <w:tc>
          <w:tcPr>
            <w:tcW w:w="1512" w:type="dxa"/>
            <w:tcBorders>
              <w:top w:val="nil"/>
              <w:left w:val="nil"/>
              <w:bottom w:val="nil"/>
              <w:right w:val="nil"/>
            </w:tcBorders>
            <w:hideMark/>
          </w:tcPr>
          <w:p w14:paraId="1DBC5309" w14:textId="77777777" w:rsidR="00371F4F" w:rsidRPr="00371F4F" w:rsidRDefault="00371F4F" w:rsidP="00371F4F">
            <w:pPr>
              <w:keepNext/>
              <w:widowControl/>
              <w:jc w:val="center"/>
            </w:pPr>
            <w:r w:rsidRPr="00371F4F">
              <w:t>0.008569</w:t>
            </w:r>
          </w:p>
        </w:tc>
      </w:tr>
      <w:tr w:rsidR="00371F4F" w:rsidRPr="00371F4F" w14:paraId="4D528650" w14:textId="77777777" w:rsidTr="00371F4F">
        <w:trPr>
          <w:jc w:val="center"/>
        </w:trPr>
        <w:tc>
          <w:tcPr>
            <w:tcW w:w="851" w:type="dxa"/>
            <w:tcBorders>
              <w:top w:val="nil"/>
              <w:left w:val="nil"/>
              <w:bottom w:val="nil"/>
              <w:right w:val="nil"/>
            </w:tcBorders>
            <w:hideMark/>
          </w:tcPr>
          <w:p w14:paraId="575D7375" w14:textId="77777777" w:rsidR="00371F4F" w:rsidRPr="00371F4F" w:rsidRDefault="00371F4F" w:rsidP="00371F4F">
            <w:pPr>
              <w:keepNext/>
              <w:widowControl/>
              <w:jc w:val="center"/>
            </w:pPr>
            <w:r w:rsidRPr="00371F4F">
              <w:t>20</w:t>
            </w:r>
          </w:p>
        </w:tc>
        <w:tc>
          <w:tcPr>
            <w:tcW w:w="1700" w:type="dxa"/>
            <w:tcBorders>
              <w:top w:val="nil"/>
              <w:left w:val="nil"/>
              <w:bottom w:val="nil"/>
              <w:right w:val="nil"/>
            </w:tcBorders>
            <w:hideMark/>
          </w:tcPr>
          <w:p w14:paraId="37233FE6" w14:textId="77777777" w:rsidR="00371F4F" w:rsidRPr="00371F4F" w:rsidRDefault="00371F4F" w:rsidP="00371F4F">
            <w:pPr>
              <w:keepNext/>
              <w:widowControl/>
              <w:jc w:val="center"/>
            </w:pPr>
            <w:r w:rsidRPr="00371F4F">
              <w:t>NSGA-II</w:t>
            </w:r>
          </w:p>
        </w:tc>
        <w:tc>
          <w:tcPr>
            <w:tcW w:w="1132" w:type="dxa"/>
            <w:tcBorders>
              <w:top w:val="nil"/>
              <w:left w:val="nil"/>
              <w:bottom w:val="nil"/>
              <w:right w:val="nil"/>
            </w:tcBorders>
            <w:hideMark/>
          </w:tcPr>
          <w:p w14:paraId="5E571FB6" w14:textId="77777777" w:rsidR="00371F4F" w:rsidRPr="00371F4F" w:rsidRDefault="00371F4F" w:rsidP="00371F4F">
            <w:pPr>
              <w:keepNext/>
              <w:widowControl/>
              <w:jc w:val="center"/>
            </w:pPr>
            <w:r w:rsidRPr="00371F4F">
              <w:t>139</w:t>
            </w:r>
          </w:p>
        </w:tc>
        <w:tc>
          <w:tcPr>
            <w:tcW w:w="1512" w:type="dxa"/>
            <w:tcBorders>
              <w:top w:val="nil"/>
              <w:left w:val="nil"/>
              <w:bottom w:val="nil"/>
              <w:right w:val="nil"/>
            </w:tcBorders>
            <w:hideMark/>
          </w:tcPr>
          <w:p w14:paraId="4F687C0E" w14:textId="77777777" w:rsidR="00371F4F" w:rsidRPr="00371F4F" w:rsidRDefault="00371F4F" w:rsidP="00371F4F">
            <w:pPr>
              <w:keepNext/>
              <w:widowControl/>
              <w:jc w:val="center"/>
            </w:pPr>
            <w:r w:rsidRPr="00371F4F">
              <w:t>0.859698</w:t>
            </w:r>
          </w:p>
        </w:tc>
        <w:tc>
          <w:tcPr>
            <w:tcW w:w="1512" w:type="dxa"/>
            <w:tcBorders>
              <w:top w:val="nil"/>
              <w:left w:val="nil"/>
              <w:bottom w:val="nil"/>
              <w:right w:val="nil"/>
            </w:tcBorders>
            <w:hideMark/>
          </w:tcPr>
          <w:p w14:paraId="766C1759" w14:textId="77777777" w:rsidR="00371F4F" w:rsidRPr="00371F4F" w:rsidRDefault="00371F4F" w:rsidP="00371F4F">
            <w:pPr>
              <w:keepNext/>
              <w:widowControl/>
              <w:jc w:val="center"/>
            </w:pPr>
            <w:r w:rsidRPr="00371F4F">
              <w:t>0.980020</w:t>
            </w:r>
          </w:p>
        </w:tc>
        <w:tc>
          <w:tcPr>
            <w:tcW w:w="1512" w:type="dxa"/>
            <w:tcBorders>
              <w:top w:val="nil"/>
              <w:left w:val="nil"/>
              <w:bottom w:val="nil"/>
              <w:right w:val="nil"/>
            </w:tcBorders>
            <w:hideMark/>
          </w:tcPr>
          <w:p w14:paraId="2BC8B19C" w14:textId="77777777" w:rsidR="00371F4F" w:rsidRPr="00371F4F" w:rsidRDefault="00371F4F" w:rsidP="00371F4F">
            <w:pPr>
              <w:keepNext/>
              <w:widowControl/>
              <w:jc w:val="center"/>
            </w:pPr>
            <w:r w:rsidRPr="00371F4F">
              <w:t>0.009461</w:t>
            </w:r>
          </w:p>
        </w:tc>
      </w:tr>
      <w:tr w:rsidR="00371F4F" w:rsidRPr="00371F4F" w14:paraId="3BACC0C0" w14:textId="77777777" w:rsidTr="00371F4F">
        <w:trPr>
          <w:jc w:val="center"/>
        </w:trPr>
        <w:tc>
          <w:tcPr>
            <w:tcW w:w="851" w:type="dxa"/>
            <w:tcBorders>
              <w:top w:val="nil"/>
              <w:left w:val="nil"/>
              <w:bottom w:val="nil"/>
              <w:right w:val="nil"/>
            </w:tcBorders>
            <w:hideMark/>
          </w:tcPr>
          <w:p w14:paraId="71F78054" w14:textId="77777777" w:rsidR="00371F4F" w:rsidRPr="00371F4F" w:rsidRDefault="00371F4F" w:rsidP="00371F4F">
            <w:pPr>
              <w:keepNext/>
              <w:widowControl/>
              <w:jc w:val="center"/>
            </w:pPr>
            <w:r w:rsidRPr="00371F4F">
              <w:t>25</w:t>
            </w:r>
          </w:p>
        </w:tc>
        <w:tc>
          <w:tcPr>
            <w:tcW w:w="1700" w:type="dxa"/>
            <w:tcBorders>
              <w:top w:val="nil"/>
              <w:left w:val="nil"/>
              <w:bottom w:val="nil"/>
              <w:right w:val="nil"/>
            </w:tcBorders>
            <w:hideMark/>
          </w:tcPr>
          <w:p w14:paraId="3F030B7B" w14:textId="77777777" w:rsidR="00371F4F" w:rsidRPr="00371F4F" w:rsidRDefault="00371F4F" w:rsidP="00371F4F">
            <w:pPr>
              <w:keepNext/>
              <w:widowControl/>
              <w:jc w:val="center"/>
            </w:pPr>
            <w:r w:rsidRPr="00371F4F">
              <w:t>MPG-NSGA-II</w:t>
            </w:r>
          </w:p>
        </w:tc>
        <w:tc>
          <w:tcPr>
            <w:tcW w:w="1132" w:type="dxa"/>
            <w:tcBorders>
              <w:top w:val="nil"/>
              <w:left w:val="nil"/>
              <w:bottom w:val="nil"/>
              <w:right w:val="nil"/>
            </w:tcBorders>
            <w:hideMark/>
          </w:tcPr>
          <w:p w14:paraId="72DC35FD" w14:textId="77777777" w:rsidR="00371F4F" w:rsidRPr="00371F4F" w:rsidRDefault="00371F4F" w:rsidP="00371F4F">
            <w:pPr>
              <w:keepNext/>
              <w:widowControl/>
              <w:jc w:val="center"/>
            </w:pPr>
            <w:r w:rsidRPr="00371F4F">
              <w:t>165</w:t>
            </w:r>
          </w:p>
        </w:tc>
        <w:tc>
          <w:tcPr>
            <w:tcW w:w="1512" w:type="dxa"/>
            <w:tcBorders>
              <w:top w:val="nil"/>
              <w:left w:val="nil"/>
              <w:bottom w:val="nil"/>
              <w:right w:val="nil"/>
            </w:tcBorders>
            <w:hideMark/>
          </w:tcPr>
          <w:p w14:paraId="05100F9E" w14:textId="77777777" w:rsidR="00371F4F" w:rsidRPr="00371F4F" w:rsidRDefault="00371F4F" w:rsidP="00371F4F">
            <w:pPr>
              <w:keepNext/>
              <w:widowControl/>
              <w:jc w:val="center"/>
            </w:pPr>
            <w:r w:rsidRPr="00371F4F">
              <w:t>0.934231</w:t>
            </w:r>
          </w:p>
        </w:tc>
        <w:tc>
          <w:tcPr>
            <w:tcW w:w="1512" w:type="dxa"/>
            <w:tcBorders>
              <w:top w:val="nil"/>
              <w:left w:val="nil"/>
              <w:bottom w:val="nil"/>
              <w:right w:val="nil"/>
            </w:tcBorders>
            <w:hideMark/>
          </w:tcPr>
          <w:p w14:paraId="5433D8AB" w14:textId="77777777" w:rsidR="00371F4F" w:rsidRPr="00371F4F" w:rsidRDefault="00371F4F" w:rsidP="00371F4F">
            <w:pPr>
              <w:keepNext/>
              <w:widowControl/>
              <w:jc w:val="center"/>
            </w:pPr>
            <w:r w:rsidRPr="00371F4F">
              <w:t>0.944926</w:t>
            </w:r>
          </w:p>
        </w:tc>
        <w:tc>
          <w:tcPr>
            <w:tcW w:w="1512" w:type="dxa"/>
            <w:tcBorders>
              <w:top w:val="nil"/>
              <w:left w:val="nil"/>
              <w:bottom w:val="nil"/>
              <w:right w:val="nil"/>
            </w:tcBorders>
            <w:hideMark/>
          </w:tcPr>
          <w:p w14:paraId="640C01C5" w14:textId="77777777" w:rsidR="00371F4F" w:rsidRPr="00371F4F" w:rsidRDefault="00371F4F" w:rsidP="00371F4F">
            <w:pPr>
              <w:keepNext/>
              <w:widowControl/>
              <w:jc w:val="center"/>
            </w:pPr>
            <w:r w:rsidRPr="00371F4F">
              <w:t>0.008539</w:t>
            </w:r>
          </w:p>
        </w:tc>
      </w:tr>
      <w:tr w:rsidR="00371F4F" w:rsidRPr="00371F4F" w14:paraId="716DBED8" w14:textId="77777777" w:rsidTr="00371F4F">
        <w:trPr>
          <w:jc w:val="center"/>
        </w:trPr>
        <w:tc>
          <w:tcPr>
            <w:tcW w:w="851" w:type="dxa"/>
            <w:tcBorders>
              <w:top w:val="nil"/>
              <w:left w:val="nil"/>
              <w:bottom w:val="single" w:sz="12" w:space="0" w:color="auto"/>
              <w:right w:val="nil"/>
            </w:tcBorders>
            <w:hideMark/>
          </w:tcPr>
          <w:p w14:paraId="6D6B6BF3" w14:textId="77777777" w:rsidR="00371F4F" w:rsidRPr="00371F4F" w:rsidRDefault="00371F4F" w:rsidP="00371F4F">
            <w:pPr>
              <w:keepNext/>
              <w:widowControl/>
              <w:jc w:val="center"/>
            </w:pPr>
            <w:r w:rsidRPr="00371F4F">
              <w:t>25</w:t>
            </w:r>
          </w:p>
        </w:tc>
        <w:tc>
          <w:tcPr>
            <w:tcW w:w="1700" w:type="dxa"/>
            <w:tcBorders>
              <w:top w:val="nil"/>
              <w:left w:val="nil"/>
              <w:bottom w:val="single" w:sz="12" w:space="0" w:color="auto"/>
              <w:right w:val="nil"/>
            </w:tcBorders>
            <w:hideMark/>
          </w:tcPr>
          <w:p w14:paraId="4D194030" w14:textId="77777777" w:rsidR="00371F4F" w:rsidRPr="00371F4F" w:rsidRDefault="00371F4F" w:rsidP="00371F4F">
            <w:pPr>
              <w:keepNext/>
              <w:widowControl/>
              <w:jc w:val="center"/>
            </w:pPr>
            <w:r w:rsidRPr="00371F4F">
              <w:t>NSGA-II</w:t>
            </w:r>
          </w:p>
        </w:tc>
        <w:tc>
          <w:tcPr>
            <w:tcW w:w="1132" w:type="dxa"/>
            <w:tcBorders>
              <w:top w:val="nil"/>
              <w:left w:val="nil"/>
              <w:bottom w:val="single" w:sz="12" w:space="0" w:color="auto"/>
              <w:right w:val="nil"/>
            </w:tcBorders>
            <w:hideMark/>
          </w:tcPr>
          <w:p w14:paraId="5CC05577" w14:textId="77777777" w:rsidR="00371F4F" w:rsidRPr="00371F4F" w:rsidRDefault="00371F4F" w:rsidP="00371F4F">
            <w:pPr>
              <w:keepNext/>
              <w:widowControl/>
              <w:jc w:val="center"/>
            </w:pPr>
            <w:r w:rsidRPr="00371F4F">
              <w:t>146</w:t>
            </w:r>
          </w:p>
        </w:tc>
        <w:tc>
          <w:tcPr>
            <w:tcW w:w="1512" w:type="dxa"/>
            <w:tcBorders>
              <w:top w:val="nil"/>
              <w:left w:val="nil"/>
              <w:bottom w:val="single" w:sz="12" w:space="0" w:color="auto"/>
              <w:right w:val="nil"/>
            </w:tcBorders>
            <w:hideMark/>
          </w:tcPr>
          <w:p w14:paraId="599BA2E0" w14:textId="77777777" w:rsidR="00371F4F" w:rsidRPr="00371F4F" w:rsidRDefault="00371F4F" w:rsidP="00371F4F">
            <w:pPr>
              <w:keepNext/>
              <w:widowControl/>
              <w:jc w:val="center"/>
            </w:pPr>
            <w:r w:rsidRPr="00371F4F">
              <w:t>0.870960</w:t>
            </w:r>
          </w:p>
        </w:tc>
        <w:tc>
          <w:tcPr>
            <w:tcW w:w="1512" w:type="dxa"/>
            <w:tcBorders>
              <w:top w:val="nil"/>
              <w:left w:val="nil"/>
              <w:bottom w:val="single" w:sz="12" w:space="0" w:color="auto"/>
              <w:right w:val="nil"/>
            </w:tcBorders>
            <w:hideMark/>
          </w:tcPr>
          <w:p w14:paraId="42C453C0" w14:textId="77777777" w:rsidR="00371F4F" w:rsidRPr="00371F4F" w:rsidRDefault="00371F4F" w:rsidP="00371F4F">
            <w:pPr>
              <w:keepNext/>
              <w:widowControl/>
              <w:jc w:val="center"/>
            </w:pPr>
            <w:r w:rsidRPr="00371F4F">
              <w:t>0.991162</w:t>
            </w:r>
          </w:p>
        </w:tc>
        <w:tc>
          <w:tcPr>
            <w:tcW w:w="1512" w:type="dxa"/>
            <w:tcBorders>
              <w:top w:val="nil"/>
              <w:left w:val="nil"/>
              <w:bottom w:val="single" w:sz="12" w:space="0" w:color="auto"/>
              <w:right w:val="nil"/>
            </w:tcBorders>
            <w:hideMark/>
          </w:tcPr>
          <w:p w14:paraId="00CDC791" w14:textId="77777777" w:rsidR="00371F4F" w:rsidRPr="00371F4F" w:rsidRDefault="00371F4F" w:rsidP="00371F4F">
            <w:pPr>
              <w:keepNext/>
              <w:widowControl/>
              <w:jc w:val="center"/>
            </w:pPr>
            <w:r w:rsidRPr="00371F4F">
              <w:t>0.008572</w:t>
            </w:r>
          </w:p>
        </w:tc>
      </w:tr>
    </w:tbl>
    <w:p w14:paraId="1A3F5504"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p>
    <w:p w14:paraId="0AAD32BA"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对表中数据进行分析主要可以得出以下两方面的结论：</w:t>
      </w:r>
    </w:p>
    <w:p w14:paraId="317FCCDB"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1</w:t>
      </w:r>
      <w:r w:rsidRPr="00371F4F">
        <w:rPr>
          <w:rFonts w:ascii="Times New Roman" w:eastAsia="宋体" w:hAnsi="Times New Roman" w:cs="Times New Roman" w:hint="eastAsia"/>
          <w:sz w:val="24"/>
          <w:szCs w:val="21"/>
          <w14:ligatures w14:val="none"/>
        </w:rPr>
        <w:t>）从前沿解集规模（</w:t>
      </w:r>
      <w:r w:rsidRPr="00371F4F">
        <w:rPr>
          <w:rFonts w:ascii="Times New Roman" w:eastAsia="宋体" w:hAnsi="Times New Roman" w:cs="Times New Roman"/>
          <w:sz w:val="24"/>
          <w:szCs w:val="21"/>
          <w14:ligatures w14:val="none"/>
        </w:rPr>
        <w:t>N</w:t>
      </w:r>
      <w:r w:rsidRPr="00371F4F">
        <w:rPr>
          <w:rFonts w:ascii="Times New Roman" w:eastAsia="宋体" w:hAnsi="Times New Roman" w:cs="Times New Roman" w:hint="eastAsia"/>
          <w:sz w:val="24"/>
          <w:szCs w:val="21"/>
          <w14:ligatures w14:val="none"/>
        </w:rPr>
        <w:t>）与超体积（</w:t>
      </w:r>
      <w:r w:rsidRPr="00371F4F">
        <w:rPr>
          <w:rFonts w:ascii="Times New Roman" w:eastAsia="宋体" w:hAnsi="Times New Roman" w:cs="Times New Roman"/>
          <w:sz w:val="24"/>
          <w:szCs w:val="21"/>
          <w14:ligatures w14:val="none"/>
        </w:rPr>
        <w:t>HV</w:t>
      </w:r>
      <w:r w:rsidRPr="00371F4F">
        <w:rPr>
          <w:rFonts w:ascii="Times New Roman" w:eastAsia="宋体" w:hAnsi="Times New Roman" w:cs="Times New Roman" w:hint="eastAsia"/>
          <w:sz w:val="24"/>
          <w:szCs w:val="21"/>
          <w14:ligatures w14:val="none"/>
        </w:rPr>
        <w:t>）指标来看，在</w:t>
      </w:r>
      <w:r w:rsidRPr="00371F4F">
        <w:rPr>
          <w:rFonts w:ascii="Times New Roman" w:eastAsia="宋体" w:hAnsi="Times New Roman" w:cs="Times New Roman"/>
          <w:sz w:val="24"/>
          <w:szCs w:val="21"/>
          <w14:ligatures w14:val="none"/>
        </w:rPr>
        <w:t xml:space="preserve"> 15</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 xml:space="preserve">20 </w:t>
      </w:r>
      <w:r w:rsidRPr="00371F4F">
        <w:rPr>
          <w:rFonts w:ascii="Times New Roman" w:eastAsia="宋体" w:hAnsi="Times New Roman" w:cs="Times New Roman" w:hint="eastAsia"/>
          <w:sz w:val="24"/>
          <w:szCs w:val="21"/>
          <w14:ligatures w14:val="none"/>
        </w:rPr>
        <w:t>和</w:t>
      </w:r>
      <w:r w:rsidRPr="00371F4F">
        <w:rPr>
          <w:rFonts w:ascii="Times New Roman" w:eastAsia="宋体" w:hAnsi="Times New Roman" w:cs="Times New Roman"/>
          <w:sz w:val="24"/>
          <w:szCs w:val="21"/>
          <w14:ligatures w14:val="none"/>
        </w:rPr>
        <w:t xml:space="preserve"> 25 </w:t>
      </w:r>
      <w:r w:rsidRPr="00371F4F">
        <w:rPr>
          <w:rFonts w:ascii="Times New Roman" w:eastAsia="宋体" w:hAnsi="Times New Roman" w:cs="Times New Roman" w:hint="eastAsia"/>
          <w:sz w:val="24"/>
          <w:szCs w:val="21"/>
          <w14:ligatures w14:val="none"/>
        </w:rPr>
        <w:t>节点规模下，本文所提</w:t>
      </w:r>
      <w:r w:rsidRPr="00371F4F">
        <w:rPr>
          <w:rFonts w:ascii="Times New Roman" w:eastAsia="宋体" w:hAnsi="Times New Roman" w:cs="Times New Roman"/>
          <w:sz w:val="24"/>
          <w:szCs w:val="21"/>
          <w14:ligatures w14:val="none"/>
        </w:rPr>
        <w:t xml:space="preserve"> MPG-NSGA-II </w:t>
      </w:r>
      <w:r w:rsidRPr="00371F4F">
        <w:rPr>
          <w:rFonts w:ascii="Times New Roman" w:eastAsia="宋体" w:hAnsi="Times New Roman" w:cs="Times New Roman" w:hint="eastAsia"/>
          <w:sz w:val="24"/>
          <w:szCs w:val="21"/>
          <w14:ligatures w14:val="none"/>
        </w:rPr>
        <w:t>算法在不同规模场景中均表现出更优的收敛质量。具体而言，在</w:t>
      </w:r>
      <w:r w:rsidRPr="00371F4F">
        <w:rPr>
          <w:rFonts w:ascii="Times New Roman" w:eastAsia="宋体" w:hAnsi="Times New Roman" w:cs="Times New Roman"/>
          <w:sz w:val="24"/>
          <w:szCs w:val="21"/>
          <w14:ligatures w14:val="none"/>
        </w:rPr>
        <w:t xml:space="preserve"> 15 </w:t>
      </w:r>
      <w:r w:rsidRPr="00371F4F">
        <w:rPr>
          <w:rFonts w:ascii="Times New Roman" w:eastAsia="宋体" w:hAnsi="Times New Roman" w:cs="Times New Roman" w:hint="eastAsia"/>
          <w:sz w:val="24"/>
          <w:szCs w:val="21"/>
          <w14:ligatures w14:val="none"/>
        </w:rPr>
        <w:t>节点场景下，</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的解集规模为</w:t>
      </w:r>
      <w:r w:rsidRPr="00371F4F">
        <w:rPr>
          <w:rFonts w:ascii="Times New Roman" w:eastAsia="宋体" w:hAnsi="Times New Roman" w:cs="Times New Roman"/>
          <w:sz w:val="24"/>
          <w:szCs w:val="21"/>
          <w14:ligatures w14:val="none"/>
        </w:rPr>
        <w:t xml:space="preserve"> 75</w:t>
      </w:r>
      <w:r w:rsidRPr="00371F4F">
        <w:rPr>
          <w:rFonts w:ascii="Times New Roman" w:eastAsia="宋体" w:hAnsi="Times New Roman" w:cs="Times New Roman" w:hint="eastAsia"/>
          <w:sz w:val="24"/>
          <w:szCs w:val="21"/>
          <w14:ligatures w14:val="none"/>
        </w:rPr>
        <w:t>，低于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85</w:t>
      </w:r>
      <w:r w:rsidRPr="00371F4F">
        <w:rPr>
          <w:rFonts w:ascii="Times New Roman" w:eastAsia="宋体" w:hAnsi="Times New Roman" w:cs="Times New Roman" w:hint="eastAsia"/>
          <w:sz w:val="24"/>
          <w:szCs w:val="21"/>
          <w14:ligatures w14:val="none"/>
        </w:rPr>
        <w:t>，但其</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值达到</w:t>
      </w:r>
      <w:r w:rsidRPr="00371F4F">
        <w:rPr>
          <w:rFonts w:ascii="Times New Roman" w:eastAsia="宋体" w:hAnsi="Times New Roman" w:cs="Times New Roman"/>
          <w:sz w:val="24"/>
          <w:szCs w:val="21"/>
          <w14:ligatures w14:val="none"/>
        </w:rPr>
        <w:t xml:space="preserve"> 0.930917</w:t>
      </w:r>
      <w:r w:rsidRPr="00371F4F">
        <w:rPr>
          <w:rFonts w:ascii="Times New Roman" w:eastAsia="宋体" w:hAnsi="Times New Roman" w:cs="Times New Roman" w:hint="eastAsia"/>
          <w:sz w:val="24"/>
          <w:szCs w:val="21"/>
          <w14:ligatures w14:val="none"/>
        </w:rPr>
        <w:t>，显著优于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0.847761</w:t>
      </w:r>
      <w:r w:rsidRPr="00371F4F">
        <w:rPr>
          <w:rFonts w:ascii="Times New Roman" w:eastAsia="宋体" w:hAnsi="Times New Roman" w:cs="Times New Roman" w:hint="eastAsia"/>
          <w:sz w:val="24"/>
          <w:szCs w:val="21"/>
          <w14:ligatures w14:val="none"/>
        </w:rPr>
        <w:t>；在</w:t>
      </w:r>
      <w:r w:rsidRPr="00371F4F">
        <w:rPr>
          <w:rFonts w:ascii="Times New Roman" w:eastAsia="宋体" w:hAnsi="Times New Roman" w:cs="Times New Roman"/>
          <w:sz w:val="24"/>
          <w:szCs w:val="21"/>
          <w14:ligatures w14:val="none"/>
        </w:rPr>
        <w:t xml:space="preserve"> 20 </w:t>
      </w:r>
      <w:r w:rsidRPr="00371F4F">
        <w:rPr>
          <w:rFonts w:ascii="Times New Roman" w:eastAsia="宋体" w:hAnsi="Times New Roman" w:cs="Times New Roman" w:hint="eastAsia"/>
          <w:sz w:val="24"/>
          <w:szCs w:val="21"/>
          <w14:ligatures w14:val="none"/>
        </w:rPr>
        <w:t>节点场景中，</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N </w:t>
      </w:r>
      <w:r w:rsidRPr="00371F4F">
        <w:rPr>
          <w:rFonts w:ascii="Times New Roman" w:eastAsia="宋体" w:hAnsi="Times New Roman" w:cs="Times New Roman" w:hint="eastAsia"/>
          <w:sz w:val="24"/>
          <w:szCs w:val="21"/>
          <w14:ligatures w14:val="none"/>
        </w:rPr>
        <w:t>为</w:t>
      </w:r>
      <w:r w:rsidRPr="00371F4F">
        <w:rPr>
          <w:rFonts w:ascii="Times New Roman" w:eastAsia="宋体" w:hAnsi="Times New Roman" w:cs="Times New Roman"/>
          <w:sz w:val="24"/>
          <w:szCs w:val="21"/>
          <w14:ligatures w14:val="none"/>
        </w:rPr>
        <w:t xml:space="preserve"> 143</w:t>
      </w:r>
      <w:r w:rsidRPr="00371F4F">
        <w:rPr>
          <w:rFonts w:ascii="Times New Roman" w:eastAsia="宋体" w:hAnsi="Times New Roman" w:cs="Times New Roman" w:hint="eastAsia"/>
          <w:sz w:val="24"/>
          <w:szCs w:val="21"/>
          <w14:ligatures w14:val="none"/>
        </w:rPr>
        <w:t>，略高于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139</w:t>
      </w:r>
      <w:r w:rsidRPr="00371F4F">
        <w:rPr>
          <w:rFonts w:ascii="Times New Roman" w:eastAsia="宋体" w:hAnsi="Times New Roman" w:cs="Times New Roman" w:hint="eastAsia"/>
          <w:sz w:val="24"/>
          <w:szCs w:val="21"/>
          <w14:ligatures w14:val="none"/>
        </w:rPr>
        <w:t>，同时</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为</w:t>
      </w:r>
      <w:r w:rsidRPr="00371F4F">
        <w:rPr>
          <w:rFonts w:ascii="Times New Roman" w:eastAsia="宋体" w:hAnsi="Times New Roman" w:cs="Times New Roman"/>
          <w:sz w:val="24"/>
          <w:szCs w:val="21"/>
          <w14:ligatures w14:val="none"/>
        </w:rPr>
        <w:t xml:space="preserve"> 0.911168</w:t>
      </w:r>
      <w:r w:rsidRPr="00371F4F">
        <w:rPr>
          <w:rFonts w:ascii="Times New Roman" w:eastAsia="宋体" w:hAnsi="Times New Roman" w:cs="Times New Roman" w:hint="eastAsia"/>
          <w:sz w:val="24"/>
          <w:szCs w:val="21"/>
          <w14:ligatures w14:val="none"/>
        </w:rPr>
        <w:t>，相较于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0.859698 </w:t>
      </w:r>
      <w:r w:rsidRPr="00371F4F">
        <w:rPr>
          <w:rFonts w:ascii="Times New Roman" w:eastAsia="宋体" w:hAnsi="Times New Roman" w:cs="Times New Roman" w:hint="eastAsia"/>
          <w:sz w:val="24"/>
          <w:szCs w:val="21"/>
          <w14:ligatures w14:val="none"/>
        </w:rPr>
        <w:t>仍具有明显优势；在</w:t>
      </w:r>
      <w:r w:rsidRPr="00371F4F">
        <w:rPr>
          <w:rFonts w:ascii="Times New Roman" w:eastAsia="宋体" w:hAnsi="Times New Roman" w:cs="Times New Roman"/>
          <w:sz w:val="24"/>
          <w:szCs w:val="21"/>
          <w14:ligatures w14:val="none"/>
        </w:rPr>
        <w:t xml:space="preserve"> 25 </w:t>
      </w:r>
      <w:r w:rsidRPr="00371F4F">
        <w:rPr>
          <w:rFonts w:ascii="Times New Roman" w:eastAsia="宋体" w:hAnsi="Times New Roman" w:cs="Times New Roman" w:hint="eastAsia"/>
          <w:sz w:val="24"/>
          <w:szCs w:val="21"/>
          <w14:ligatures w14:val="none"/>
        </w:rPr>
        <w:t>节点场景下，</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N </w:t>
      </w:r>
      <w:r w:rsidRPr="00371F4F">
        <w:rPr>
          <w:rFonts w:ascii="Times New Roman" w:eastAsia="宋体" w:hAnsi="Times New Roman" w:cs="Times New Roman" w:hint="eastAsia"/>
          <w:sz w:val="24"/>
          <w:szCs w:val="21"/>
          <w14:ligatures w14:val="none"/>
        </w:rPr>
        <w:t>为</w:t>
      </w:r>
      <w:r w:rsidRPr="00371F4F">
        <w:rPr>
          <w:rFonts w:ascii="Times New Roman" w:eastAsia="宋体" w:hAnsi="Times New Roman" w:cs="Times New Roman"/>
          <w:sz w:val="24"/>
          <w:szCs w:val="21"/>
          <w14:ligatures w14:val="none"/>
        </w:rPr>
        <w:t xml:space="preserve"> 165</w:t>
      </w:r>
      <w:r w:rsidRPr="00371F4F">
        <w:rPr>
          <w:rFonts w:ascii="Times New Roman" w:eastAsia="宋体" w:hAnsi="Times New Roman" w:cs="Times New Roman" w:hint="eastAsia"/>
          <w:sz w:val="24"/>
          <w:szCs w:val="21"/>
          <w14:ligatures w14:val="none"/>
        </w:rPr>
        <w:t>，高于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146</w:t>
      </w:r>
      <w:r w:rsidRPr="00371F4F">
        <w:rPr>
          <w:rFonts w:ascii="Times New Roman" w:eastAsia="宋体" w:hAnsi="Times New Roman" w:cs="Times New Roman" w:hint="eastAsia"/>
          <w:sz w:val="24"/>
          <w:szCs w:val="21"/>
          <w14:ligatures w14:val="none"/>
        </w:rPr>
        <w:t>，且</w:t>
      </w:r>
      <w:r w:rsidRPr="00371F4F">
        <w:rPr>
          <w:rFonts w:ascii="Times New Roman" w:eastAsia="宋体" w:hAnsi="Times New Roman" w:cs="Times New Roman"/>
          <w:sz w:val="24"/>
          <w:szCs w:val="21"/>
          <w14:ligatures w14:val="none"/>
        </w:rPr>
        <w:t xml:space="preserve"> HV </w:t>
      </w:r>
      <w:r w:rsidRPr="00371F4F">
        <w:rPr>
          <w:rFonts w:ascii="Times New Roman" w:eastAsia="宋体" w:hAnsi="Times New Roman" w:cs="Times New Roman" w:hint="eastAsia"/>
          <w:sz w:val="24"/>
          <w:szCs w:val="21"/>
          <w14:ligatures w14:val="none"/>
        </w:rPr>
        <w:t>提升至</w:t>
      </w:r>
      <w:r w:rsidRPr="00371F4F">
        <w:rPr>
          <w:rFonts w:ascii="Times New Roman" w:eastAsia="宋体" w:hAnsi="Times New Roman" w:cs="Times New Roman"/>
          <w:sz w:val="24"/>
          <w:szCs w:val="21"/>
          <w14:ligatures w14:val="none"/>
        </w:rPr>
        <w:t xml:space="preserve"> 0.934231</w:t>
      </w:r>
      <w:r w:rsidRPr="00371F4F">
        <w:rPr>
          <w:rFonts w:ascii="Times New Roman" w:eastAsia="宋体" w:hAnsi="Times New Roman" w:cs="Times New Roman" w:hint="eastAsia"/>
          <w:sz w:val="24"/>
          <w:szCs w:val="21"/>
          <w14:ligatures w14:val="none"/>
        </w:rPr>
        <w:t>，对比</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0.870960 </w:t>
      </w:r>
      <w:r w:rsidRPr="00371F4F">
        <w:rPr>
          <w:rFonts w:ascii="Times New Roman" w:eastAsia="宋体" w:hAnsi="Times New Roman" w:cs="Times New Roman" w:hint="eastAsia"/>
          <w:sz w:val="24"/>
          <w:szCs w:val="21"/>
          <w14:ligatures w14:val="none"/>
        </w:rPr>
        <w:t>优势进一步扩大。上述结果表明，</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并非单纯依赖增加解集规模来提升性能，而是通过启发式引导变</w:t>
      </w:r>
      <w:r w:rsidRPr="00371F4F">
        <w:rPr>
          <w:rFonts w:ascii="Times New Roman" w:eastAsia="宋体" w:hAnsi="Times New Roman" w:cs="Times New Roman" w:hint="eastAsia"/>
          <w:sz w:val="24"/>
          <w:szCs w:val="21"/>
          <w14:ligatures w14:val="none"/>
        </w:rPr>
        <w:lastRenderedPageBreak/>
        <w:t>异与多种群协同机制，有效提升了解集质量，使其在保持合理规模的同时获得更优的整体支配性能。</w:t>
      </w:r>
    </w:p>
    <w:p w14:paraId="0EE2CBBF" w14:textId="77777777" w:rsidR="00371F4F" w:rsidRPr="00371F4F" w:rsidRDefault="00371F4F" w:rsidP="00371F4F">
      <w:pPr>
        <w:spacing w:line="300" w:lineRule="auto"/>
        <w:ind w:firstLineChars="200" w:firstLine="480"/>
        <w:rPr>
          <w:rFonts w:ascii="Times New Roman" w:eastAsia="宋体" w:hAnsi="Times New Roman" w:cs="Times New Roman"/>
          <w:sz w:val="24"/>
          <w:szCs w:val="21"/>
          <w14:ligatures w14:val="none"/>
        </w:rPr>
      </w:pP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2</w:t>
      </w:r>
      <w:r w:rsidRPr="00371F4F">
        <w:rPr>
          <w:rFonts w:ascii="Times New Roman" w:eastAsia="宋体" w:hAnsi="Times New Roman" w:cs="Times New Roman" w:hint="eastAsia"/>
          <w:sz w:val="24"/>
          <w:szCs w:val="21"/>
          <w14:ligatures w14:val="none"/>
        </w:rPr>
        <w:t>）从分布广度（</w:t>
      </w:r>
      <w:r w:rsidRPr="00371F4F">
        <w:rPr>
          <w:rFonts w:ascii="Times New Roman" w:eastAsia="宋体" w:hAnsi="Times New Roman" w:cs="Times New Roman"/>
          <w:sz w:val="24"/>
          <w:szCs w:val="21"/>
          <w14:ligatures w14:val="none"/>
        </w:rPr>
        <w:t>Spread</w:t>
      </w:r>
      <w:r w:rsidRPr="00371F4F">
        <w:rPr>
          <w:rFonts w:ascii="Times New Roman" w:eastAsia="宋体" w:hAnsi="Times New Roman" w:cs="Times New Roman" w:hint="eastAsia"/>
          <w:sz w:val="24"/>
          <w:szCs w:val="21"/>
          <w14:ligatures w14:val="none"/>
        </w:rPr>
        <w:t>）与空间均匀性（</w:t>
      </w:r>
      <w:r w:rsidRPr="00371F4F">
        <w:rPr>
          <w:rFonts w:ascii="Times New Roman" w:eastAsia="宋体" w:hAnsi="Times New Roman" w:cs="Times New Roman"/>
          <w:sz w:val="24"/>
          <w:szCs w:val="21"/>
          <w14:ligatures w14:val="none"/>
        </w:rPr>
        <w:t>Spacing</w:t>
      </w:r>
      <w:r w:rsidRPr="00371F4F">
        <w:rPr>
          <w:rFonts w:ascii="Times New Roman" w:eastAsia="宋体" w:hAnsi="Times New Roman" w:cs="Times New Roman" w:hint="eastAsia"/>
          <w:sz w:val="24"/>
          <w:szCs w:val="21"/>
          <w14:ligatures w14:val="none"/>
        </w:rPr>
        <w:t>）指标来看，</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在不同规模场景下整体表现出更优或更稳定的分布特性。在</w:t>
      </w:r>
      <w:r w:rsidRPr="00371F4F">
        <w:rPr>
          <w:rFonts w:ascii="Times New Roman" w:eastAsia="宋体" w:hAnsi="Times New Roman" w:cs="Times New Roman"/>
          <w:sz w:val="24"/>
          <w:szCs w:val="21"/>
          <w14:ligatures w14:val="none"/>
        </w:rPr>
        <w:t xml:space="preserve"> 15 </w:t>
      </w:r>
      <w:r w:rsidRPr="00371F4F">
        <w:rPr>
          <w:rFonts w:ascii="Times New Roman" w:eastAsia="宋体" w:hAnsi="Times New Roman" w:cs="Times New Roman" w:hint="eastAsia"/>
          <w:sz w:val="24"/>
          <w:szCs w:val="21"/>
          <w14:ligatures w14:val="none"/>
        </w:rPr>
        <w:t>节点场景中，</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Spread </w:t>
      </w:r>
      <w:r w:rsidRPr="00371F4F">
        <w:rPr>
          <w:rFonts w:ascii="Times New Roman" w:eastAsia="宋体" w:hAnsi="Times New Roman" w:cs="Times New Roman" w:hint="eastAsia"/>
          <w:sz w:val="24"/>
          <w:szCs w:val="21"/>
          <w14:ligatures w14:val="none"/>
        </w:rPr>
        <w:t>为</w:t>
      </w:r>
      <w:r w:rsidRPr="00371F4F">
        <w:rPr>
          <w:rFonts w:ascii="Times New Roman" w:eastAsia="宋体" w:hAnsi="Times New Roman" w:cs="Times New Roman"/>
          <w:sz w:val="24"/>
          <w:szCs w:val="21"/>
          <w14:ligatures w14:val="none"/>
        </w:rPr>
        <w:t xml:space="preserve"> 0.967244</w:t>
      </w:r>
      <w:r w:rsidRPr="00371F4F">
        <w:rPr>
          <w:rFonts w:ascii="Times New Roman" w:eastAsia="宋体" w:hAnsi="Times New Roman" w:cs="Times New Roman" w:hint="eastAsia"/>
          <w:sz w:val="24"/>
          <w:szCs w:val="21"/>
          <w14:ligatures w14:val="none"/>
        </w:rPr>
        <w:t>，优于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0.983063</w:t>
      </w:r>
      <w:r w:rsidRPr="00371F4F">
        <w:rPr>
          <w:rFonts w:ascii="Times New Roman" w:eastAsia="宋体" w:hAnsi="Times New Roman" w:cs="Times New Roman" w:hint="eastAsia"/>
          <w:sz w:val="24"/>
          <w:szCs w:val="21"/>
          <w14:ligatures w14:val="none"/>
        </w:rPr>
        <w:t>，同时</w:t>
      </w:r>
      <w:r w:rsidRPr="00371F4F">
        <w:rPr>
          <w:rFonts w:ascii="Times New Roman" w:eastAsia="宋体" w:hAnsi="Times New Roman" w:cs="Times New Roman"/>
          <w:sz w:val="24"/>
          <w:szCs w:val="21"/>
          <w14:ligatures w14:val="none"/>
        </w:rPr>
        <w:t xml:space="preserve"> Spacing </w:t>
      </w:r>
      <w:r w:rsidRPr="00371F4F">
        <w:rPr>
          <w:rFonts w:ascii="Times New Roman" w:eastAsia="宋体" w:hAnsi="Times New Roman" w:cs="Times New Roman" w:hint="eastAsia"/>
          <w:sz w:val="24"/>
          <w:szCs w:val="21"/>
          <w14:ligatures w14:val="none"/>
        </w:rPr>
        <w:t>为</w:t>
      </w:r>
      <w:r w:rsidRPr="00371F4F">
        <w:rPr>
          <w:rFonts w:ascii="Times New Roman" w:eastAsia="宋体" w:hAnsi="Times New Roman" w:cs="Times New Roman"/>
          <w:sz w:val="24"/>
          <w:szCs w:val="21"/>
          <w14:ligatures w14:val="none"/>
        </w:rPr>
        <w:t xml:space="preserve"> 0.015991</w:t>
      </w:r>
      <w:r w:rsidRPr="00371F4F">
        <w:rPr>
          <w:rFonts w:ascii="Times New Roman" w:eastAsia="宋体" w:hAnsi="Times New Roman" w:cs="Times New Roman" w:hint="eastAsia"/>
          <w:sz w:val="24"/>
          <w:szCs w:val="21"/>
          <w14:ligatures w14:val="none"/>
        </w:rPr>
        <w:t>，略优于</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0.016084</w:t>
      </w:r>
      <w:r w:rsidRPr="00371F4F">
        <w:rPr>
          <w:rFonts w:ascii="Times New Roman" w:eastAsia="宋体" w:hAnsi="Times New Roman" w:cs="Times New Roman" w:hint="eastAsia"/>
          <w:sz w:val="24"/>
          <w:szCs w:val="21"/>
          <w14:ligatures w14:val="none"/>
        </w:rPr>
        <w:t>，表明其解集分布更加均匀且具有较好的延展性；在</w:t>
      </w:r>
      <w:r w:rsidRPr="00371F4F">
        <w:rPr>
          <w:rFonts w:ascii="Times New Roman" w:eastAsia="宋体" w:hAnsi="Times New Roman" w:cs="Times New Roman"/>
          <w:sz w:val="24"/>
          <w:szCs w:val="21"/>
          <w14:ligatures w14:val="none"/>
        </w:rPr>
        <w:t xml:space="preserve"> 20 </w:t>
      </w:r>
      <w:r w:rsidRPr="00371F4F">
        <w:rPr>
          <w:rFonts w:ascii="Times New Roman" w:eastAsia="宋体" w:hAnsi="Times New Roman" w:cs="Times New Roman" w:hint="eastAsia"/>
          <w:sz w:val="24"/>
          <w:szCs w:val="21"/>
          <w14:ligatures w14:val="none"/>
        </w:rPr>
        <w:t>节点场景下，</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Spread</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0.947098</w:t>
      </w:r>
      <w:r w:rsidRPr="00371F4F">
        <w:rPr>
          <w:rFonts w:ascii="Times New Roman" w:eastAsia="宋体" w:hAnsi="Times New Roman" w:cs="Times New Roman" w:hint="eastAsia"/>
          <w:sz w:val="24"/>
          <w:szCs w:val="21"/>
          <w14:ligatures w14:val="none"/>
        </w:rPr>
        <w:t>）明显优于</w:t>
      </w:r>
      <w:r w:rsidRPr="00371F4F">
        <w:rPr>
          <w:rFonts w:ascii="Times New Roman" w:eastAsia="宋体" w:hAnsi="Times New Roman" w:cs="Times New Roman"/>
          <w:sz w:val="24"/>
          <w:szCs w:val="21"/>
          <w14:ligatures w14:val="none"/>
        </w:rPr>
        <w:t xml:space="preserve"> NSGA-II</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0.980020</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Spacing</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0.008569</w:t>
      </w:r>
      <w:r w:rsidRPr="00371F4F">
        <w:rPr>
          <w:rFonts w:ascii="Times New Roman" w:eastAsia="宋体" w:hAnsi="Times New Roman" w:cs="Times New Roman" w:hint="eastAsia"/>
          <w:sz w:val="24"/>
          <w:szCs w:val="21"/>
          <w14:ligatures w14:val="none"/>
        </w:rPr>
        <w:t>）亦优于</w:t>
      </w:r>
      <w:r w:rsidRPr="00371F4F">
        <w:rPr>
          <w:rFonts w:ascii="Times New Roman" w:eastAsia="宋体" w:hAnsi="Times New Roman" w:cs="Times New Roman"/>
          <w:sz w:val="24"/>
          <w:szCs w:val="21"/>
          <w14:ligatures w14:val="none"/>
        </w:rPr>
        <w:t xml:space="preserve"> NSGA-II</w:t>
      </w:r>
      <w:r w:rsidRPr="00371F4F">
        <w:rPr>
          <w:rFonts w:ascii="Times New Roman" w:eastAsia="宋体" w:hAnsi="Times New Roman" w:cs="Times New Roman" w:hint="eastAsia"/>
          <w:sz w:val="24"/>
          <w:szCs w:val="21"/>
          <w14:ligatures w14:val="none"/>
        </w:rPr>
        <w:t>（</w:t>
      </w:r>
      <w:r w:rsidRPr="00371F4F">
        <w:rPr>
          <w:rFonts w:ascii="Times New Roman" w:eastAsia="宋体" w:hAnsi="Times New Roman" w:cs="Times New Roman"/>
          <w:sz w:val="24"/>
          <w:szCs w:val="21"/>
          <w14:ligatures w14:val="none"/>
        </w:rPr>
        <w:t>0.009461</w:t>
      </w:r>
      <w:r w:rsidRPr="00371F4F">
        <w:rPr>
          <w:rFonts w:ascii="Times New Roman" w:eastAsia="宋体" w:hAnsi="Times New Roman" w:cs="Times New Roman" w:hint="eastAsia"/>
          <w:sz w:val="24"/>
          <w:szCs w:val="21"/>
          <w14:ligatures w14:val="none"/>
        </w:rPr>
        <w:t>），说明其在中等规模下能够兼顾分布广度与均匀性；在</w:t>
      </w:r>
      <w:r w:rsidRPr="00371F4F">
        <w:rPr>
          <w:rFonts w:ascii="Times New Roman" w:eastAsia="宋体" w:hAnsi="Times New Roman" w:cs="Times New Roman"/>
          <w:sz w:val="24"/>
          <w:szCs w:val="21"/>
          <w14:ligatures w14:val="none"/>
        </w:rPr>
        <w:t xml:space="preserve"> 25 </w:t>
      </w:r>
      <w:r w:rsidRPr="00371F4F">
        <w:rPr>
          <w:rFonts w:ascii="Times New Roman" w:eastAsia="宋体" w:hAnsi="Times New Roman" w:cs="Times New Roman" w:hint="eastAsia"/>
          <w:sz w:val="24"/>
          <w:szCs w:val="21"/>
          <w14:ligatures w14:val="none"/>
        </w:rPr>
        <w:t>节点场景中，</w:t>
      </w:r>
      <w:r w:rsidRPr="00371F4F">
        <w:rPr>
          <w:rFonts w:ascii="Times New Roman" w:eastAsia="宋体" w:hAnsi="Times New Roman" w:cs="Times New Roman"/>
          <w:sz w:val="24"/>
          <w:szCs w:val="21"/>
          <w14:ligatures w14:val="none"/>
        </w:rPr>
        <w:t xml:space="preserve">MPG-NSGA-II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Spread </w:t>
      </w:r>
      <w:r w:rsidRPr="00371F4F">
        <w:rPr>
          <w:rFonts w:ascii="Times New Roman" w:eastAsia="宋体" w:hAnsi="Times New Roman" w:cs="Times New Roman" w:hint="eastAsia"/>
          <w:sz w:val="24"/>
          <w:szCs w:val="21"/>
          <w14:ligatures w14:val="none"/>
        </w:rPr>
        <w:t>为</w:t>
      </w:r>
      <w:r w:rsidRPr="00371F4F">
        <w:rPr>
          <w:rFonts w:ascii="Times New Roman" w:eastAsia="宋体" w:hAnsi="Times New Roman" w:cs="Times New Roman"/>
          <w:sz w:val="24"/>
          <w:szCs w:val="21"/>
          <w14:ligatures w14:val="none"/>
        </w:rPr>
        <w:t xml:space="preserve"> 0.944926</w:t>
      </w:r>
      <w:r w:rsidRPr="00371F4F">
        <w:rPr>
          <w:rFonts w:ascii="Times New Roman" w:eastAsia="宋体" w:hAnsi="Times New Roman" w:cs="Times New Roman" w:hint="eastAsia"/>
          <w:sz w:val="24"/>
          <w:szCs w:val="21"/>
          <w14:ligatures w14:val="none"/>
        </w:rPr>
        <w:t>，相较</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的</w:t>
      </w:r>
      <w:r w:rsidRPr="00371F4F">
        <w:rPr>
          <w:rFonts w:ascii="Times New Roman" w:eastAsia="宋体" w:hAnsi="Times New Roman" w:cs="Times New Roman"/>
          <w:sz w:val="24"/>
          <w:szCs w:val="21"/>
          <w14:ligatures w14:val="none"/>
        </w:rPr>
        <w:t xml:space="preserve"> 0.991162 </w:t>
      </w:r>
      <w:r w:rsidRPr="00371F4F">
        <w:rPr>
          <w:rFonts w:ascii="Times New Roman" w:eastAsia="宋体" w:hAnsi="Times New Roman" w:cs="Times New Roman" w:hint="eastAsia"/>
          <w:sz w:val="24"/>
          <w:szCs w:val="21"/>
          <w14:ligatures w14:val="none"/>
        </w:rPr>
        <w:t>仍具有明显优势，而两者在</w:t>
      </w:r>
      <w:r w:rsidRPr="00371F4F">
        <w:rPr>
          <w:rFonts w:ascii="Times New Roman" w:eastAsia="宋体" w:hAnsi="Times New Roman" w:cs="Times New Roman"/>
          <w:sz w:val="24"/>
          <w:szCs w:val="21"/>
          <w14:ligatures w14:val="none"/>
        </w:rPr>
        <w:t xml:space="preserve"> Spacing </w:t>
      </w:r>
      <w:r w:rsidRPr="00371F4F">
        <w:rPr>
          <w:rFonts w:ascii="Times New Roman" w:eastAsia="宋体" w:hAnsi="Times New Roman" w:cs="Times New Roman" w:hint="eastAsia"/>
          <w:sz w:val="24"/>
          <w:szCs w:val="21"/>
          <w14:ligatures w14:val="none"/>
        </w:rPr>
        <w:t>指标上接近（分别为</w:t>
      </w:r>
      <w:r w:rsidRPr="00371F4F">
        <w:rPr>
          <w:rFonts w:ascii="Times New Roman" w:eastAsia="宋体" w:hAnsi="Times New Roman" w:cs="Times New Roman"/>
          <w:sz w:val="24"/>
          <w:szCs w:val="21"/>
          <w14:ligatures w14:val="none"/>
        </w:rPr>
        <w:t xml:space="preserve"> 0.008539 </w:t>
      </w:r>
      <w:r w:rsidRPr="00371F4F">
        <w:rPr>
          <w:rFonts w:ascii="Times New Roman" w:eastAsia="宋体" w:hAnsi="Times New Roman" w:cs="Times New Roman" w:hint="eastAsia"/>
          <w:sz w:val="24"/>
          <w:szCs w:val="21"/>
          <w14:ligatures w14:val="none"/>
        </w:rPr>
        <w:t>与</w:t>
      </w:r>
      <w:r w:rsidRPr="00371F4F">
        <w:rPr>
          <w:rFonts w:ascii="Times New Roman" w:eastAsia="宋体" w:hAnsi="Times New Roman" w:cs="Times New Roman"/>
          <w:sz w:val="24"/>
          <w:szCs w:val="21"/>
          <w14:ligatures w14:val="none"/>
        </w:rPr>
        <w:t xml:space="preserve"> 0.008572</w:t>
      </w:r>
      <w:r w:rsidRPr="00371F4F">
        <w:rPr>
          <w:rFonts w:ascii="Times New Roman" w:eastAsia="宋体" w:hAnsi="Times New Roman" w:cs="Times New Roman" w:hint="eastAsia"/>
          <w:sz w:val="24"/>
          <w:szCs w:val="21"/>
          <w14:ligatures w14:val="none"/>
        </w:rPr>
        <w:t>），表明在较大规模下两种算法均能维持一定的分布均匀性，但</w:t>
      </w:r>
      <w:r w:rsidRPr="00371F4F">
        <w:rPr>
          <w:rFonts w:ascii="Times New Roman" w:eastAsia="宋体" w:hAnsi="Times New Roman" w:cs="Times New Roman"/>
          <w:sz w:val="24"/>
          <w:szCs w:val="21"/>
          <w14:ligatures w14:val="none"/>
        </w:rPr>
        <w:t xml:space="preserve"> MPG-NSGA-II </w:t>
      </w:r>
      <w:r w:rsidRPr="00371F4F">
        <w:rPr>
          <w:rFonts w:ascii="Times New Roman" w:eastAsia="宋体" w:hAnsi="Times New Roman" w:cs="Times New Roman" w:hint="eastAsia"/>
          <w:sz w:val="24"/>
          <w:szCs w:val="21"/>
          <w14:ligatures w14:val="none"/>
        </w:rPr>
        <w:t>在整体分布质量与前沿延展能力方面仍更具优势。综合来看，本文算法能够在提升解集质量的同时，有效避免传统</w:t>
      </w:r>
      <w:r w:rsidRPr="00371F4F">
        <w:rPr>
          <w:rFonts w:ascii="Times New Roman" w:eastAsia="宋体" w:hAnsi="Times New Roman" w:cs="Times New Roman"/>
          <w:sz w:val="24"/>
          <w:szCs w:val="21"/>
          <w14:ligatures w14:val="none"/>
        </w:rPr>
        <w:t xml:space="preserve"> NSGA-II </w:t>
      </w:r>
      <w:r w:rsidRPr="00371F4F">
        <w:rPr>
          <w:rFonts w:ascii="Times New Roman" w:eastAsia="宋体" w:hAnsi="Times New Roman" w:cs="Times New Roman" w:hint="eastAsia"/>
          <w:sz w:val="24"/>
          <w:szCs w:val="21"/>
          <w14:ligatures w14:val="none"/>
        </w:rPr>
        <w:t>在高维搜索空间中易出现的解集拥挤与分布退化问题，从而获得更加均衡且具有代表性的帕累托解集。</w:t>
      </w:r>
    </w:p>
    <w:p w14:paraId="377C0AD7" w14:textId="77777777" w:rsidR="00962636" w:rsidRPr="00371F4F" w:rsidRDefault="00962636"/>
    <w:sectPr w:rsidR="00962636" w:rsidRPr="00371F4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6-03-04T20:13:00Z" w:initials="LD">
    <w:p w14:paraId="12363C6E" w14:textId="77777777" w:rsidR="00371F4F" w:rsidRDefault="00371F4F" w:rsidP="00371F4F">
      <w:pPr>
        <w:pStyle w:val="a9"/>
      </w:pPr>
      <w:r>
        <w:rPr>
          <w:rStyle w:val="ab"/>
        </w:rPr>
        <w:annotationRef/>
      </w:r>
      <w:r>
        <w:rPr>
          <w:rFonts w:hint="eastAsia"/>
        </w:rPr>
        <w:t>由</w:t>
      </w:r>
      <w:r>
        <w:t>0.6</w:t>
      </w:r>
      <w:r>
        <w:rPr>
          <w:rFonts w:hint="eastAsia"/>
        </w:rPr>
        <w:t>提升到</w:t>
      </w:r>
      <w:r>
        <w:t>0.7</w:t>
      </w:r>
      <w:r>
        <w:rPr>
          <w:rFonts w:hint="eastAsia"/>
        </w:rPr>
        <w:t>，似乎性能提升也不怎么明显啊？</w:t>
      </w:r>
    </w:p>
  </w:comment>
  <w:comment w:id="2" w:author="运璐 何" w:date="2026-03-05T16:05:00Z" w:initials="LD">
    <w:p w14:paraId="45B902EE" w14:textId="77777777" w:rsidR="00371F4F" w:rsidRDefault="00371F4F" w:rsidP="00371F4F">
      <w:pPr>
        <w:pStyle w:val="a9"/>
      </w:pPr>
      <w:r>
        <w:rPr>
          <w:rStyle w:val="ab"/>
        </w:rPr>
        <w:annotationRef/>
      </w:r>
      <w:r>
        <w:t>HV</w:t>
      </w:r>
      <w:r>
        <w:rPr>
          <w:rFonts w:hint="eastAsia"/>
        </w:rPr>
        <w:t>指标并不是一个归一化的指标，是一个相对的指标，用于衡量两个解集的整体相对优劣。实际的物理增益主要在连通和覆盖指标的对比。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363C6E" w15:done="0"/>
  <w15:commentEx w15:paraId="45B902EE" w15:paraIdParent="12363C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A5D5F" w16cex:dateUtc="2026-04-03T07:37:00Z"/>
  <w16cex:commentExtensible w16cex:durableId="2D7A5D60" w16cex:dateUtc="2026-04-03T0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363C6E" w16cid:durableId="2D7A5D5F"/>
  <w16cid:commentId w16cid:paraId="45B902EE" w16cid:durableId="2D7A5D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DFA06" w14:textId="77777777" w:rsidR="00C23CA9" w:rsidRDefault="00C23CA9" w:rsidP="00371F4F">
      <w:r>
        <w:separator/>
      </w:r>
    </w:p>
  </w:endnote>
  <w:endnote w:type="continuationSeparator" w:id="0">
    <w:p w14:paraId="6B61A195" w14:textId="77777777" w:rsidR="00C23CA9" w:rsidRDefault="00C23CA9" w:rsidP="00371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C22D9" w14:textId="77777777" w:rsidR="00C23CA9" w:rsidRDefault="00C23CA9" w:rsidP="00371F4F">
      <w:r>
        <w:separator/>
      </w:r>
    </w:p>
  </w:footnote>
  <w:footnote w:type="continuationSeparator" w:id="0">
    <w:p w14:paraId="1E80C539" w14:textId="77777777" w:rsidR="00C23CA9" w:rsidRDefault="00C23CA9" w:rsidP="00371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D0A6E"/>
    <w:multiLevelType w:val="multilevel"/>
    <w:tmpl w:val="D5D0073E"/>
    <w:name w:val="（eq）"/>
    <w:styleLink w:val="a"/>
    <w:lvl w:ilvl="0">
      <w:start w:val="1"/>
      <w:numFmt w:val="chineseCountingThousand"/>
      <w:pStyle w:val="1"/>
      <w:suff w:val="space"/>
      <w:lvlText w:val="第%1章"/>
      <w:lvlJc w:val="left"/>
      <w:pPr>
        <w:ind w:left="1843"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0"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0"/>
      <w:lvlText w:val="[%9]"/>
      <w:lvlJc w:val="left"/>
      <w:pPr>
        <w:ind w:left="0" w:firstLine="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2"/>
    <w:rsid w:val="00100C8E"/>
    <w:rsid w:val="00123B96"/>
    <w:rsid w:val="00371F4F"/>
    <w:rsid w:val="003F69C2"/>
    <w:rsid w:val="003F784D"/>
    <w:rsid w:val="00926B1E"/>
    <w:rsid w:val="00962636"/>
    <w:rsid w:val="00B84662"/>
    <w:rsid w:val="00C23CA9"/>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BA4832B-663E-4792-887D-DBEB9BDFE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next w:val="a1"/>
    <w:link w:val="10"/>
    <w:qFormat/>
    <w:rsid w:val="00371F4F"/>
    <w:pPr>
      <w:keepNext/>
      <w:keepLines/>
      <w:numPr>
        <w:numId w:val="1"/>
      </w:numPr>
      <w:spacing w:after="360"/>
      <w:ind w:left="0"/>
      <w:jc w:val="center"/>
      <w:outlineLvl w:val="0"/>
    </w:pPr>
    <w:rPr>
      <w:rFonts w:ascii="黑体" w:eastAsia="黑体" w:hAnsi="黑体" w:cs="宋体"/>
      <w:b/>
      <w:bCs/>
      <w:kern w:val="44"/>
      <w:sz w:val="32"/>
      <w:szCs w:val="44"/>
      <w14:ligatures w14:val="none"/>
    </w:rPr>
  </w:style>
  <w:style w:type="paragraph" w:styleId="2">
    <w:name w:val="heading 2"/>
    <w:next w:val="a1"/>
    <w:link w:val="20"/>
    <w:semiHidden/>
    <w:unhideWhenUsed/>
    <w:qFormat/>
    <w:rsid w:val="00371F4F"/>
    <w:pPr>
      <w:keepNext/>
      <w:keepLines/>
      <w:numPr>
        <w:ilvl w:val="1"/>
        <w:numId w:val="1"/>
      </w:numPr>
      <w:spacing w:before="480" w:after="120"/>
      <w:outlineLvl w:val="1"/>
    </w:pPr>
    <w:rPr>
      <w:rFonts w:ascii="黑体" w:eastAsia="黑体" w:hAnsi="黑体" w:cs="Times New Roman"/>
      <w:b/>
      <w:bCs/>
      <w:sz w:val="28"/>
      <w:szCs w:val="32"/>
      <w14:ligatures w14:val="none"/>
    </w:rPr>
  </w:style>
  <w:style w:type="paragraph" w:styleId="3">
    <w:name w:val="heading 3"/>
    <w:next w:val="a1"/>
    <w:link w:val="30"/>
    <w:semiHidden/>
    <w:unhideWhenUsed/>
    <w:qFormat/>
    <w:rsid w:val="00371F4F"/>
    <w:pPr>
      <w:keepNext/>
      <w:keepLines/>
      <w:numPr>
        <w:ilvl w:val="2"/>
        <w:numId w:val="1"/>
      </w:numPr>
      <w:spacing w:before="240" w:after="120"/>
      <w:outlineLvl w:val="2"/>
    </w:pPr>
    <w:rPr>
      <w:rFonts w:ascii="黑体" w:eastAsia="黑体" w:hAnsi="黑体" w:cs="宋体"/>
      <w:b/>
      <w:bCs/>
      <w:sz w:val="24"/>
      <w:szCs w:val="32"/>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371F4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371F4F"/>
    <w:rPr>
      <w:sz w:val="18"/>
      <w:szCs w:val="18"/>
    </w:rPr>
  </w:style>
  <w:style w:type="paragraph" w:styleId="a7">
    <w:name w:val="footer"/>
    <w:basedOn w:val="a1"/>
    <w:link w:val="a8"/>
    <w:uiPriority w:val="99"/>
    <w:unhideWhenUsed/>
    <w:rsid w:val="00371F4F"/>
    <w:pPr>
      <w:tabs>
        <w:tab w:val="center" w:pos="4153"/>
        <w:tab w:val="right" w:pos="8306"/>
      </w:tabs>
      <w:snapToGrid w:val="0"/>
      <w:jc w:val="left"/>
    </w:pPr>
    <w:rPr>
      <w:sz w:val="18"/>
      <w:szCs w:val="18"/>
    </w:rPr>
  </w:style>
  <w:style w:type="character" w:customStyle="1" w:styleId="a8">
    <w:name w:val="页脚 字符"/>
    <w:basedOn w:val="a2"/>
    <w:link w:val="a7"/>
    <w:uiPriority w:val="99"/>
    <w:rsid w:val="00371F4F"/>
    <w:rPr>
      <w:sz w:val="18"/>
      <w:szCs w:val="18"/>
    </w:rPr>
  </w:style>
  <w:style w:type="paragraph" w:styleId="a9">
    <w:name w:val="annotation text"/>
    <w:basedOn w:val="a1"/>
    <w:link w:val="aa"/>
    <w:uiPriority w:val="99"/>
    <w:semiHidden/>
    <w:unhideWhenUsed/>
    <w:rsid w:val="00371F4F"/>
    <w:pPr>
      <w:jc w:val="left"/>
    </w:pPr>
  </w:style>
  <w:style w:type="character" w:customStyle="1" w:styleId="aa">
    <w:name w:val="批注文字 字符"/>
    <w:basedOn w:val="a2"/>
    <w:link w:val="a9"/>
    <w:uiPriority w:val="99"/>
    <w:semiHidden/>
    <w:rsid w:val="00371F4F"/>
  </w:style>
  <w:style w:type="character" w:customStyle="1" w:styleId="10">
    <w:name w:val="标题 1 字符"/>
    <w:basedOn w:val="a2"/>
    <w:link w:val="1"/>
    <w:rsid w:val="00371F4F"/>
    <w:rPr>
      <w:rFonts w:ascii="黑体" w:eastAsia="黑体" w:hAnsi="黑体" w:cs="宋体"/>
      <w:b/>
      <w:bCs/>
      <w:kern w:val="44"/>
      <w:sz w:val="32"/>
      <w:szCs w:val="44"/>
      <w14:ligatures w14:val="none"/>
    </w:rPr>
  </w:style>
  <w:style w:type="character" w:customStyle="1" w:styleId="20">
    <w:name w:val="标题 2 字符"/>
    <w:basedOn w:val="a2"/>
    <w:link w:val="2"/>
    <w:semiHidden/>
    <w:rsid w:val="00371F4F"/>
    <w:rPr>
      <w:rFonts w:ascii="黑体" w:eastAsia="黑体" w:hAnsi="黑体" w:cs="Times New Roman"/>
      <w:b/>
      <w:bCs/>
      <w:sz w:val="28"/>
      <w:szCs w:val="32"/>
      <w14:ligatures w14:val="none"/>
    </w:rPr>
  </w:style>
  <w:style w:type="character" w:customStyle="1" w:styleId="30">
    <w:name w:val="标题 3 字符"/>
    <w:basedOn w:val="a2"/>
    <w:link w:val="3"/>
    <w:semiHidden/>
    <w:rsid w:val="00371F4F"/>
    <w:rPr>
      <w:rFonts w:ascii="黑体" w:eastAsia="黑体" w:hAnsi="黑体" w:cs="宋体"/>
      <w:b/>
      <w:bCs/>
      <w:sz w:val="24"/>
      <w:szCs w:val="32"/>
      <w14:ligatures w14:val="none"/>
    </w:rPr>
  </w:style>
  <w:style w:type="paragraph" w:customStyle="1" w:styleId="1Fig1-1">
    <w:name w:val="1_Fig.1-1"/>
    <w:next w:val="a1"/>
    <w:qFormat/>
    <w:rsid w:val="00371F4F"/>
    <w:pPr>
      <w:numPr>
        <w:ilvl w:val="4"/>
        <w:numId w:val="1"/>
      </w:numPr>
      <w:spacing w:afterLines="100"/>
      <w:jc w:val="center"/>
    </w:pPr>
    <w:rPr>
      <w:rFonts w:ascii="楷体" w:eastAsia="楷体" w:hAnsi="楷体" w:hint="eastAsia"/>
    </w:rPr>
  </w:style>
  <w:style w:type="paragraph" w:customStyle="1" w:styleId="11-1">
    <w:name w:val="1_图1-1"/>
    <w:next w:val="1Fig1-1"/>
    <w:qFormat/>
    <w:rsid w:val="00371F4F"/>
    <w:pPr>
      <w:keepNext/>
      <w:numPr>
        <w:ilvl w:val="3"/>
        <w:numId w:val="1"/>
      </w:numPr>
      <w:ind w:left="0"/>
      <w:jc w:val="center"/>
    </w:pPr>
    <w:rPr>
      <w:rFonts w:ascii="楷体" w:eastAsia="楷体" w:hAnsi="楷体" w:hint="eastAsia"/>
    </w:rPr>
  </w:style>
  <w:style w:type="paragraph" w:customStyle="1" w:styleId="2Tab1-1">
    <w:name w:val="2_Tab.1-1"/>
    <w:next w:val="a1"/>
    <w:qFormat/>
    <w:rsid w:val="00371F4F"/>
    <w:pPr>
      <w:keepNext/>
      <w:numPr>
        <w:ilvl w:val="6"/>
        <w:numId w:val="1"/>
      </w:numPr>
      <w:jc w:val="center"/>
    </w:pPr>
    <w:rPr>
      <w:rFonts w:ascii="Times New Roman" w:eastAsia="楷体" w:hAnsi="Times New Roman" w:cs="Times New Roman"/>
      <w:szCs w:val="21"/>
      <w14:ligatures w14:val="none"/>
    </w:rPr>
  </w:style>
  <w:style w:type="paragraph" w:customStyle="1" w:styleId="21-1">
    <w:name w:val="2_表1-1"/>
    <w:next w:val="2Tab1-1"/>
    <w:qFormat/>
    <w:rsid w:val="00371F4F"/>
    <w:pPr>
      <w:keepNext/>
      <w:numPr>
        <w:ilvl w:val="5"/>
        <w:numId w:val="1"/>
      </w:numPr>
      <w:spacing w:beforeLines="100"/>
      <w:jc w:val="center"/>
    </w:pPr>
    <w:rPr>
      <w:rFonts w:ascii="楷体" w:eastAsia="楷体" w:hAnsi="楷体" w:hint="eastAsia"/>
    </w:rPr>
  </w:style>
  <w:style w:type="paragraph" w:customStyle="1" w:styleId="a0">
    <w:name w:val="文献"/>
    <w:basedOn w:val="a1"/>
    <w:qFormat/>
    <w:rsid w:val="00371F4F"/>
    <w:pPr>
      <w:numPr>
        <w:ilvl w:val="8"/>
        <w:numId w:val="1"/>
      </w:numPr>
      <w:tabs>
        <w:tab w:val="num" w:pos="360"/>
      </w:tabs>
      <w:wordWrap w:val="0"/>
      <w:spacing w:line="300" w:lineRule="auto"/>
      <w:ind w:left="220" w:hangingChars="220" w:hanging="220"/>
    </w:pPr>
    <w:rPr>
      <w:rFonts w:ascii="Times New Roman" w:eastAsia="宋体" w:hAnsi="Times New Roman" w:cs="Times New Roman"/>
      <w:szCs w:val="21"/>
      <w14:ligatures w14:val="none"/>
    </w:rPr>
  </w:style>
  <w:style w:type="character" w:styleId="ab">
    <w:name w:val="annotation reference"/>
    <w:semiHidden/>
    <w:unhideWhenUsed/>
    <w:rsid w:val="00371F4F"/>
    <w:rPr>
      <w:sz w:val="21"/>
      <w:szCs w:val="21"/>
    </w:rPr>
  </w:style>
  <w:style w:type="table" w:styleId="ac">
    <w:name w:val="Table Grid"/>
    <w:aliases w:val="三线表"/>
    <w:basedOn w:val="a3"/>
    <w:uiPriority w:val="39"/>
    <w:rsid w:val="00371F4F"/>
    <w:rPr>
      <w:rFonts w:ascii="Times New Roman" w:eastAsia="Times New Roman" w:hAnsi="Times New Roman" w:cs="Times New Roman"/>
      <w:szCs w:val="21"/>
      <w14:ligatures w14:val="none"/>
    </w:rPr>
    <w:tblPr>
      <w:tblInd w:w="0" w:type="nil"/>
      <w:tblBorders>
        <w:top w:val="single" w:sz="12" w:space="0" w:color="auto"/>
        <w:bottom w:val="single" w:sz="12" w:space="0" w:color="auto"/>
      </w:tblBorders>
    </w:tblPr>
    <w:tblStylePr w:type="firstRow">
      <w:rPr>
        <w:rFonts w:ascii="Times New Roman" w:eastAsia="宋体" w:hAnsi="Times New Roman" w:cs="Times New Roman" w:hint="default"/>
        <w:sz w:val="21"/>
        <w:szCs w:val="21"/>
      </w:rPr>
      <w:tblPr/>
      <w:tcPr>
        <w:tcBorders>
          <w:top w:val="single" w:sz="12" w:space="0" w:color="auto"/>
          <w:left w:val="nil"/>
          <w:bottom w:val="single" w:sz="4" w:space="0" w:color="auto"/>
          <w:right w:val="nil"/>
          <w:insideH w:val="nil"/>
          <w:insideV w:val="nil"/>
          <w:tl2br w:val="nil"/>
          <w:tr2bl w:val="nil"/>
        </w:tcBorders>
      </w:tcPr>
    </w:tblStylePr>
  </w:style>
  <w:style w:type="table" w:customStyle="1" w:styleId="ad">
    <w:name w:val="无边框表格"/>
    <w:basedOn w:val="a3"/>
    <w:uiPriority w:val="99"/>
    <w:rsid w:val="00371F4F"/>
    <w:rPr>
      <w:rFonts w:ascii="Times New Roman" w:eastAsia="Times New Roman" w:hAnsi="Times New Roman" w:cs="Times New Roman"/>
      <w:szCs w:val="21"/>
      <w14:ligatures w14:val="none"/>
    </w:rPr>
    <w:tblPr>
      <w:tblInd w:w="0" w:type="nil"/>
    </w:tblPr>
  </w:style>
  <w:style w:type="numbering" w:customStyle="1" w:styleId="a">
    <w:name w:val="论文编号"/>
    <w:uiPriority w:val="99"/>
    <w:rsid w:val="00371F4F"/>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11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2026-04-03T07:37:00Z</dcterms:created>
  <dcterms:modified xsi:type="dcterms:W3CDTF">2026-04-03T07:38:00Z</dcterms:modified>
</cp:coreProperties>
</file>