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3"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0.3 — for team review. Sections marked ⚠</w:t>
            </w:r>
            <w:r>
              <w:t xml:space="preserve"> </w:t>
            </w:r>
            <w:r>
              <w:rPr>
                <w:iCs/>
                <w:i/>
              </w:rPr>
              <w:t xml:space="preserve">TO FILL</w:t>
            </w:r>
            <w:r>
              <w:t xml:space="preserve"> </w:t>
            </w:r>
            <w:r>
              <w:t xml:space="preserve">depend on Sprint 5/6 evidence that does not exist yet.</w:t>
            </w:r>
          </w:p>
        </w:tc>
      </w:tr>
      <w:tr>
        <w:tc>
          <w:tcPr/>
          <w:p>
            <w:pPr>
              <w:pStyle w:val="Compact"/>
              <w:jc w:val="left"/>
            </w:pPr>
            <w:r>
              <w:rPr>
                <w:bCs/>
                <w:b/>
              </w:rPr>
              <w:t xml:space="preserve">Date</w:t>
            </w:r>
          </w:p>
        </w:tc>
        <w:tc>
          <w:tcPr/>
          <w:p>
            <w:pPr>
              <w:pStyle w:val="Compact"/>
              <w:jc w:val="left"/>
            </w:pPr>
            <w:r>
              <w:t xml:space="preserve">27 September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ac75a8e</w:t>
            </w:r>
            <w:r>
              <w:t xml:space="preserve"> </w:t>
            </w:r>
            <w:r>
              <w:t xml:space="preserve">(23 Sep 2026) plus the four open pull requests #22–#25, which are labelled where they matter</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(23 Sep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 values documented but not ratified</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Open PR #23</w:t>
            </w:r>
          </w:p>
        </w:tc>
      </w:tr>
      <w:tr>
        <w:tc>
          <w:tcPr/>
          <w:p>
            <w:pPr>
              <w:pStyle w:val="Compact"/>
              <w:jc w:val="left"/>
            </w:pPr>
            <w:r>
              <w:t xml:space="preserve">Dashboard: competency clusters page</w:t>
            </w:r>
          </w:p>
        </w:tc>
        <w:tc>
          <w:tcPr/>
          <w:p>
            <w:pPr>
              <w:pStyle w:val="Compact"/>
              <w:jc w:val="left"/>
            </w:pPr>
            <w:r>
              <w:t xml:space="preserve">Open PR #25</w:t>
            </w:r>
          </w:p>
        </w:tc>
      </w:tr>
      <w:tr>
        <w:tc>
          <w:tcPr/>
          <w:p>
            <w:pPr>
              <w:pStyle w:val="Compact"/>
              <w:jc w:val="left"/>
            </w:pPr>
            <w:r>
              <w:t xml:space="preserve">Dashboard: progress view, recommended next actions</w:t>
            </w:r>
          </w:p>
        </w:tc>
        <w:tc>
          <w:tcPr/>
          <w:p>
            <w:pPr>
              <w:pStyle w:val="Compact"/>
              <w:jc w:val="left"/>
            </w:pPr>
            <w:r>
              <w:t xml:space="preserve">Not built</w:t>
            </w:r>
          </w:p>
        </w:tc>
      </w:tr>
      <w:tr>
        <w:tc>
          <w:tcPr/>
          <w:p>
            <w:pPr>
              <w:pStyle w:val="Compact"/>
              <w:jc w:val="left"/>
            </w:pPr>
            <w:r>
              <w:t xml:space="preserve">Grounded learning plan for one student (fails closed on any invented name)</w:t>
            </w:r>
          </w:p>
        </w:tc>
        <w:tc>
          <w:tcPr/>
          <w:p>
            <w:pPr>
              <w:pStyle w:val="Compact"/>
              <w:jc w:val="left"/>
            </w:pPr>
            <w:r>
              <w:t xml:space="preserve">Working</w:t>
            </w:r>
          </w:p>
        </w:tc>
      </w:tr>
      <w:tr>
        <w:tc>
          <w:tcPr/>
          <w:p>
            <w:pPr>
              <w:pStyle w:val="Compact"/>
              <w:jc w:val="left"/>
            </w:pPr>
            <w:r>
              <w:t xml:space="preserve">Study-strategy recommendations, adaptive quizzes</w:t>
            </w:r>
          </w:p>
        </w:tc>
        <w:tc>
          <w:tcPr/>
          <w:p>
            <w:pPr>
              <w:pStyle w:val="Compact"/>
              <w:jc w:val="left"/>
            </w:pPr>
            <w:r>
              <w:t xml:space="preserve">Not built (quizzes descoped)</w:t>
            </w:r>
          </w:p>
        </w:tc>
      </w:tr>
      <w:tr>
        <w:tc>
          <w:tcPr/>
          <w:p>
            <w:pPr>
              <w:pStyle w:val="Compact"/>
              <w:jc w:val="left"/>
            </w:pPr>
            <w:r>
              <w:t xml:space="preserve">Longitudinal / A-B research export</w:t>
            </w:r>
          </w:p>
        </w:tc>
        <w:tc>
          <w:tcPr/>
          <w:p>
            <w:pPr>
              <w:pStyle w:val="Compact"/>
              <w:jc w:val="left"/>
            </w:pPr>
            <w:r>
              <w:t xml:space="preserve">Not built (Sprint 5 work)</w:t>
            </w:r>
          </w:p>
        </w:tc>
      </w:tr>
      <w:tr>
        <w:tc>
          <w:tcPr/>
          <w:p>
            <w:pPr>
              <w:pStyle w:val="Compact"/>
              <w:jc w:val="left"/>
            </w:pPr>
            <w:r>
              <w:t xml:space="preserve">Synthetic cohort generator from a YAML subject catalogue, with ground truth</w:t>
            </w:r>
          </w:p>
        </w:tc>
        <w:tc>
          <w:tcPr/>
          <w:p>
            <w:pPr>
              <w:pStyle w:val="Compact"/>
              <w:jc w:val="left"/>
            </w:pPr>
            <w:r>
              <w:t xml:space="preserve">Open PR #24</w:t>
            </w:r>
          </w:p>
        </w:tc>
      </w:tr>
      <w:tr>
        <w:tc>
          <w:tcPr/>
          <w:p>
            <w:pPr>
              <w:pStyle w:val="Compact"/>
              <w:jc w:val="left"/>
            </w:pPr>
            <w:r>
              <w:t xml:space="preserve">Committed reference run so the pipeline and dashboard work offline</w:t>
            </w:r>
          </w:p>
        </w:tc>
        <w:tc>
          <w:tcPr/>
          <w:p>
            <w:pPr>
              <w:pStyle w:val="Compact"/>
              <w:jc w:val="left"/>
            </w:pPr>
            <w:r>
              <w:t xml:space="preserve">Open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Not built</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Open PR #23</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Not built</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Not built</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Open PR #23</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bl>
    <w:p>
      <w:pPr>
        <w:pStyle w:val="BodyText"/>
      </w:pPr>
      <w:r>
        <w:t xml:space="preserve">Descoped and never started: adaptive quiz generation (R8). See §8.</w:t>
      </w:r>
    </w:p>
    <w:p>
      <w:r>
        <w:pict>
          <v:rect style="width:0;height:1.5pt" o:hralign="center" o:hrstd="t" o:hr="t"/>
        </w:pict>
      </w:r>
    </w:p>
    <w:bookmarkEnd w:id="25"/>
    <w:bookmarkStart w:id="56"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from the jsDelivr CDN</w:t>
            </w:r>
          </w:p>
        </w:tc>
        <w:tc>
          <w:tcPr/>
          <w:p>
            <w:pPr>
              <w:pStyle w:val="Compact"/>
              <w:jc w:val="left"/>
            </w:pPr>
            <w:r>
              <w:t xml:space="preserve">4.x</w:t>
            </w:r>
          </w:p>
        </w:tc>
        <w:tc>
          <w:tcPr/>
          <w:p>
            <w:pPr>
              <w:pStyle w:val="Compact"/>
              <w:jc w:val="left"/>
            </w:pPr>
            <w:r>
              <w:t xml:space="preserve">Adequate for bar and doughnut charts;</w:t>
            </w:r>
            <w:r>
              <w:t xml:space="preserve"> </w:t>
            </w:r>
            <w:r>
              <w:rPr>
                <w:bCs/>
                <w:b/>
              </w:rPr>
              <w:t xml:space="preserve">not vendored, so charts need internet</w:t>
            </w:r>
            <w:r>
              <w:t xml:space="preserve"> </w:t>
            </w:r>
            <w:r>
              <w:t xml:space="preserve">(§5.7)</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they stand today. Dashed use cases are planned or in an open PR.</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No threat model exists in the repository yet; this section is a first pass for the team to review and for Sprint 5’s security evidence task (IOLG-111) to confirm. It uses STRIDE over the system’s trust boundaries.</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t xml:space="preserve">Role creation is documented but</w:t>
            </w:r>
            <w:r>
              <w:t xml:space="preserve"> </w:t>
            </w:r>
            <w:r>
              <w:t xml:space="preserve">“</w:t>
            </w:r>
            <w:r>
              <w:t xml:space="preserve">never applied or proven</w:t>
            </w:r>
            <w:r>
              <w:t xml:space="preserve">”</w:t>
            </w:r>
            <w:r>
              <w:t xml:space="preserve"> </w:t>
            </w:r>
            <w:r>
              <w:t xml:space="preserve">on a shared instance. IOLG-111 records the</w:t>
            </w:r>
            <w:r>
              <w:t xml:space="preserve"> </w:t>
            </w:r>
            <w:r>
              <w:rPr>
                <w:rStyle w:val="VerbatimChar"/>
              </w:rPr>
              <w:t xml:space="preserve">UPDATE … permission denied</w:t>
            </w:r>
            <w:r>
              <w:t xml:space="preserve"> </w:t>
            </w:r>
            <w:r>
              <w:t xml:space="preserve">test and a</w:t>
            </w:r>
            <w:r>
              <w:t xml:space="preserve"> </w:t>
            </w:r>
            <w:r>
              <w:rPr>
                <w:rStyle w:val="VerbatimChar"/>
              </w:rPr>
              <w:t xml:space="preserve">pg_dump</w:t>
            </w:r>
            <w:r>
              <w:t xml:space="preserve"> </w:t>
            </w:r>
            <w:r>
              <w:t xml:space="preserve">checksum before/after a run.</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and gap classifications, never raw feedback or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p>
        </w:tc>
        <w:tc>
          <w:tcPr/>
          <w:p>
            <w:pPr>
              <w:pStyle w:val="Compact"/>
              <w:jc w:val="left"/>
            </w:pPr>
            <w:r>
              <w:t xml:space="preserve">If thresholds become viewer-adjustable (A-27), label it as sensitivity exploration, not policy.</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PR #24 adds a generator with per-competency ability precisely so the detector can be evaluated.</w:t>
      </w:r>
    </w:p>
    <w:p>
      <w:pPr>
        <w:pStyle w:val="Compact"/>
        <w:numPr>
          <w:ilvl w:val="0"/>
          <w:numId w:val="1003"/>
        </w:numPr>
      </w:pPr>
      <w:r>
        <w:rPr>
          <w:bCs/>
          <w:b/>
        </w:rPr>
        <w:t xml:space="preserve">The relative detector flags almost everyone once profiles have real variance.</w:t>
      </w:r>
      <w:r>
        <w:t xml:space="preserve"> </w:t>
      </w:r>
      <w:r>
        <w:t xml:space="preserve">On 500 generated students at the default −1.0 MAD cutoff, 448 had a persistent gap and 32 of 33 planted gaps were recovered. Accurate, but a lot of flags. The cutoff needs ratifying with the owner on data with known ground truth.</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Options: a stronger model, chunking by year level or subject pair with a merge pass, a repair pass, or revisiting embeddings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not time;</w:t>
      </w:r>
      <w:r>
        <w:t xml:space="preserve"> </w:t>
      </w:r>
      <w:r>
        <w:rPr>
          <w:rStyle w:val="VerbatimChar"/>
        </w:rPr>
        <w:t xml:space="preserve">future_subjects</w:t>
      </w:r>
      <w:r>
        <w:t xml:space="preserve"> </w:t>
      </w:r>
      <w:r>
        <w:t xml:space="preserve">is always empty on the three-subject fixture.</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r>
        <w:pict>
          <v:rect style="width:0;height:1.5pt" o:hralign="center" o:hrstd="t" o:hr="t"/>
        </w:pict>
      </w:r>
    </w:p>
    <w:bookmarkEnd w:id="55"/>
    <w:bookmarkEnd w:id="56"/>
    <w:bookmarkStart w:id="63" w:name="deployment-and-environment"/>
    <w:p>
      <w:pPr>
        <w:pStyle w:val="Heading2"/>
      </w:pPr>
      <w:r>
        <w:t xml:space="preserve">4. Deployment and environment</w:t>
      </w:r>
    </w:p>
    <w:bookmarkStart w:id="57"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57"/>
    <w:bookmarkStart w:id="58"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58"/>
    <w:bookmarkStart w:id="59"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not yet been performed. Until it is,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59"/>
    <w:bookmarkStart w:id="60"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0"/>
    <w:bookmarkStart w:id="61"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r>
              <w:t xml:space="preserve"> </w:t>
            </w:r>
            <w:r>
              <w:t xml:space="preserve">(PR #24)</w:t>
            </w:r>
          </w:p>
        </w:tc>
        <w:tc>
          <w:tcPr/>
          <w:p>
            <w:pPr>
              <w:pStyle w:val="Compact"/>
              <w:jc w:val="left"/>
            </w:pPr>
            <w:r>
              <w:t xml:space="preserve">Generate a cohort with per-competency ability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r>
              <w:t xml:space="preserve"> </w:t>
            </w:r>
            <w:r>
              <w:t xml:space="preserve">(PR #24)</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1"/>
    <w:bookmarkStart w:id="62"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195 passed, 1 skipped</w:t>
            </w:r>
            <w:r>
              <w:t xml:space="preserve"> </w:t>
            </w:r>
            <w:r>
              <w:t xml:space="preserve">(counts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bl>
    <w:p>
      <w:r>
        <w:pict>
          <v:rect style="width:0;height:1.5pt" o:hralign="center" o:hrstd="t" o:hr="t"/>
        </w:pict>
      </w:r>
    </w:p>
    <w:bookmarkEnd w:id="62"/>
    <w:bookmarkEnd w:id="63"/>
    <w:bookmarkStart w:id="73" w:name="ongoing-maintenance"/>
    <w:p>
      <w:pPr>
        <w:pStyle w:val="Heading2"/>
      </w:pPr>
      <w:r>
        <w:t xml:space="preserve">5. Ongoing maintenance</w:t>
      </w:r>
    </w:p>
    <w:bookmarkStart w:id="64"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w:t>
      </w:r>
      <w:r>
        <w:br/>
      </w:r>
      <w:r>
        <w:rPr>
          <w:rStyle w:val="VerbatimChar"/>
        </w:rPr>
        <w:t xml:space="preserve">│   │   ├── data/                excel_loader.py · moodle_loader.py · sql.py · loading.py · synth_generator.py</w:t>
      </w:r>
      <w:r>
        <w:br/>
      </w:r>
      <w:r>
        <w:rPr>
          <w:rStyle w:val="VerbatimChar"/>
        </w:rPr>
        <w:t xml:space="preserve">│   │   │                        catalogue*.py + moodle_emitters.py (PR #24)</w:t>
      </w:r>
      <w:r>
        <w:br/>
      </w:r>
      <w:r>
        <w:rPr>
          <w:rStyle w:val="VerbatimChar"/>
        </w:rPr>
        <w:t xml:space="preserve">│   │   ├── model/               silo_clustering.py · gap_detection.py · gap_evidence.py · learning_plan.py</w:t>
      </w:r>
      <w:r>
        <w:br/>
      </w:r>
      <w:r>
        <w:rPr>
          <w:rStyle w:val="VerbatimChar"/>
        </w:rPr>
        <w:t xml:space="preserve">│   │   └── dashboard/           app.py (routes) · stats.py · __main__.py · templates/*.html · static/{style.css,sort.js}</w:t>
      </w:r>
      <w:r>
        <w:br/>
      </w:r>
      <w:r>
        <w:rPr>
          <w:rStyle w:val="VerbatimChar"/>
        </w:rPr>
        <w:t xml:space="preserve">│   ├── tests/                   21 files, one per module, all offline</w:t>
      </w:r>
      <w:r>
        <w:br/>
      </w:r>
      <w:r>
        <w:rPr>
          <w:rStyle w:val="VerbatimChar"/>
        </w:rPr>
        <w:t xml:space="preserve">│   └── output/                  gitignored: caches, review file, CSVs, plans</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W1–W7 course guidance</w:t>
      </w:r>
      <w:r>
        <w:br/>
      </w:r>
      <w:r>
        <w:rPr>
          <w:rStyle w:val="VerbatimChar"/>
        </w:rPr>
        <w:t xml:space="preserve">    └── handover/                this document</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Every one of these has an existing example to copy.</w:t>
      </w:r>
    </w:p>
    <w:bookmarkEnd w:id="64"/>
    <w:bookmarkStart w:id="65"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65"/>
    <w:bookmarkStart w:id="66" w:name="keeping-the-dependencies-current"/>
    <w:p>
      <w:pPr>
        <w:pStyle w:val="Heading3"/>
      </w:pPr>
      <w:r>
        <w:t xml:space="preserve">5.3 Keeping the dependencies current</w:t>
      </w:r>
    </w:p>
    <w:p>
      <w:pPr>
        <w:pStyle w:val="Compact"/>
        <w:numPr>
          <w:ilvl w:val="0"/>
          <w:numId w:val="1004"/>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4"/>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4"/>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4"/>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4"/>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4"/>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66"/>
    <w:bookmarkStart w:id="67"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67"/>
    <w:bookmarkStart w:id="68"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 (study strategies, quizzes).</w:t>
      </w:r>
      <w:r>
        <w:t xml:space="preserve"> </w:t>
      </w:r>
      <w:r>
        <w:t xml:space="preserve">Follow</w:t>
      </w:r>
      <w:r>
        <w:t xml:space="preserve"> </w:t>
      </w:r>
      <w:r>
        <w:rPr>
          <w:rStyle w:val="VerbatimChar"/>
        </w:rPr>
        <w:t xml:space="preserve">learning_plan.py</w:t>
      </w:r>
      <w:r>
        <w:t xml:space="preserve"> </w:t>
      </w:r>
      <w:r>
        <w:t xml:space="preserve">exactly: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a generate loop that quotes grounding errors back and fails closed; its own</w:t>
      </w:r>
      <w:r>
        <w:t xml:space="preserve"> </w:t>
      </w:r>
      <w:r>
        <w:rPr>
          <w:rStyle w:val="VerbatimChar"/>
        </w:rPr>
        <w:t xml:space="preserve">python -m lja.&lt;name&gt;</w:t>
      </w:r>
      <w:r>
        <w:t xml:space="preserve"> </w:t>
      </w:r>
      <w:r>
        <w:t xml:space="preserve">command that respects the review gate. The tender says quizzes are</w:t>
      </w:r>
      <w:r>
        <w:t xml:space="preserve"> </w:t>
      </w:r>
      <w:r>
        <w:t xml:space="preserve">“</w:t>
      </w:r>
      <w:r>
        <w:t xml:space="preserve">most likely to look plausible while quietly not being grounded</w:t>
      </w:r>
      <w:r>
        <w:t xml:space="preserve">”</w:t>
      </w:r>
      <w:r>
        <w:t xml:space="preserve">, which is why this discipline is not optional.</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PR #23 (strengths) and PR #25 (clusters) are worked examples. Cohorts are registered in</w:t>
      </w:r>
      <w:r>
        <w:t xml:space="preserve"> </w:t>
      </w:r>
      <w:r>
        <w:rPr>
          <w:rStyle w:val="VerbatimChar"/>
        </w:rPr>
        <w:t xml:space="preserve">_COHORTS</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 #24) produces the test data;</w:t>
      </w:r>
      <w:r>
        <w:t xml:space="preserve"> </w:t>
      </w:r>
      <w:r>
        <w:rPr>
          <w:rStyle w:val="VerbatimChar"/>
        </w:rPr>
        <w:t xml:space="preserve">catalogue_verify</w:t>
      </w:r>
      <w:r>
        <w:t xml:space="preserve"> </w:t>
      </w:r>
      <w:r>
        <w:t xml:space="preserve">scores pairwise precision/recall of any clustering against the catalogue’s competency tags.</w:t>
      </w:r>
    </w:p>
    <w:bookmarkEnd w:id="68"/>
    <w:bookmarkStart w:id="69"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(A-20) or connect</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69"/>
    <w:bookmarkStart w:id="70"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rPr>
                <w:rStyle w:val="VerbatimChar"/>
              </w:rPr>
              <w:t xml:space="preserve">_STABLE_BAND_PCT = 5.0</w:t>
            </w:r>
            <w:r>
              <w:t xml:space="preserve"> </w:t>
            </w:r>
            <w:r>
              <w:t xml:space="preserve">trend band reasoned, not measured</w:t>
            </w:r>
          </w:p>
        </w:tc>
        <w:tc>
          <w:tcPr/>
          <w:p>
            <w:pPr>
              <w:pStyle w:val="Compact"/>
              <w:jc w:val="left"/>
            </w:pPr>
            <w:r>
              <w:rPr>
                <w:rStyle w:val="VerbatimChar"/>
              </w:rPr>
              <w:t xml:space="preserve">gap_evidence.py</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p>
        </w:tc>
        <w:tc>
          <w:tcPr/>
          <w:p>
            <w:pPr>
              <w:pStyle w:val="Compact"/>
              <w:jc w:val="left"/>
            </w:pPr>
            <w:r>
              <w:rPr>
                <w:rStyle w:val="VerbatimChar"/>
              </w:rPr>
              <w:t xml:space="preserve">gap_evidence.py</w:t>
            </w:r>
          </w:p>
        </w:tc>
        <w:tc>
          <w:tcPr/>
          <w:p>
            <w:pPr>
              <w:pStyle w:val="Compact"/>
              <w:jc w:val="left"/>
            </w:pPr>
            <w:r>
              <w:t xml:space="preserve">—</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bl>
    <w:bookmarkEnd w:id="70"/>
    <w:bookmarkStart w:id="71"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5"/>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5"/>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5"/>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5"/>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5"/>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5"/>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1"/>
    <w:bookmarkStart w:id="72" w:name="documentation-that-is-known-to-be-stale"/>
    <w:p>
      <w:pPr>
        <w:pStyle w:val="Heading3"/>
      </w:pPr>
      <w:r>
        <w:t xml:space="preserve">5.9 Documentation that is known to be stale</w:t>
      </w:r>
    </w:p>
    <w:p>
      <w:pPr>
        <w:pStyle w:val="FirstParagraph"/>
      </w:pPr>
      <w:r>
        <w:t xml:space="preserve">Fix these in the README truth pass (IOLG-114):</w:t>
      </w:r>
    </w:p>
    <w:p>
      <w:pPr>
        <w:pStyle w:val="Compact"/>
        <w:numPr>
          <w:ilvl w:val="0"/>
          <w:numId w:val="1006"/>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6"/>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6"/>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6"/>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6"/>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2"/>
    <w:bookmarkEnd w:id="73"/>
    <w:bookmarkStart w:id="79" w:name="testing"/>
    <w:p>
      <w:pPr>
        <w:pStyle w:val="Heading2"/>
      </w:pPr>
      <w:r>
        <w:t xml:space="preserve">6. Testing</w:t>
      </w:r>
    </w:p>
    <w:bookmarkStart w:id="74"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 </w:t>
            </w:r>
            <w:r>
              <w:t xml:space="preserve">gate behaviour with the pipeline monkeypatched</w:t>
            </w:r>
          </w:p>
        </w:tc>
        <w:tc>
          <w:tcPr/>
          <w:p>
            <w:pPr>
              <w:pStyle w:val="Compact"/>
              <w:jc w:val="left"/>
            </w:pPr>
            <w:r>
              <w:rPr>
                <w:rStyle w:val="VerbatimChar"/>
              </w:rPr>
              <w:t xml:space="preserve">test_plan_cli.py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w:t>
            </w:r>
            <w:r>
              <w:t xml:space="preserve">(planned)</w:t>
            </w:r>
          </w:p>
        </w:tc>
        <w:tc>
          <w:tcPr/>
          <w:p>
            <w:pPr>
              <w:pStyle w:val="Compact"/>
              <w:jc w:val="left"/>
            </w:pPr>
            <w:r>
              <w:t xml:space="preserve">No, manual, 4/5 Oct</w:t>
            </w:r>
          </w:p>
        </w:tc>
      </w:tr>
      <w:tr>
        <w:tc>
          <w:tcPr/>
          <w:p>
            <w:pPr>
              <w:pStyle w:val="Compact"/>
              <w:jc w:val="left"/>
            </w:pPr>
            <w:r>
              <w:t xml:space="preserve">Validation</w:t>
            </w:r>
          </w:p>
        </w:tc>
        <w:tc>
          <w:tcPr/>
          <w:p>
            <w:pPr>
              <w:pStyle w:val="Compact"/>
              <w:jc w:val="left"/>
            </w:pPr>
            <w:r>
              <w:t xml:space="preserve">Seven hand-worked gap-detection cases; ten plans read for invented claims; six security evidence results; clean-machine rebuild</w:t>
            </w:r>
          </w:p>
        </w:tc>
        <w:tc>
          <w:tcPr/>
          <w:p>
            <w:pPr>
              <w:pStyle w:val="Compact"/>
              <w:jc w:val="left"/>
            </w:pPr>
            <w:r>
              <w:t xml:space="preserve">IOLG-110, IOLG-121, IOLG-111, IOLG-118</w:t>
            </w:r>
          </w:p>
        </w:tc>
        <w:tc>
          <w:tcPr/>
          <w:p>
            <w:pPr>
              <w:pStyle w:val="Compact"/>
              <w:jc w:val="left"/>
            </w:pPr>
            <w:r>
              <w:t xml:space="preserve">No, manual, Sprint 5</w:t>
            </w:r>
          </w:p>
        </w:tc>
      </w:tr>
    </w:tbl>
    <w:p>
      <w:pPr>
        <w:pStyle w:val="BodyText"/>
      </w:pPr>
      <w:r>
        <w:t xml:space="preserve">Suite size on 26 Sep 2026: 188 test functions, 196 collected items (parametrisation), 195 pass, 1 skipped (live Moodle), 1.7 s.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4"/>
    <w:bookmarkStart w:id="75"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w:t>
            </w:r>
          </w:p>
        </w:tc>
        <w:tc>
          <w:tcPr/>
          <w:p>
            <w:pPr>
              <w:pStyle w:val="Compact"/>
              <w:jc w:val="left"/>
            </w:pPr>
            <w:r>
              <w:t xml:space="preserve">Validation worksheet, seven cases (IOLG-110)</w:t>
            </w:r>
          </w:p>
        </w:tc>
        <w:tc>
          <w:tcPr/>
          <w:p>
            <w:pPr>
              <w:pStyle w:val="Compact"/>
              <w:jc w:val="left"/>
            </w:pPr>
            <w:r>
              <w:t xml:space="preserve">Unit 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w:t>
            </w:r>
          </w:p>
        </w:tc>
        <w:tc>
          <w:tcPr/>
          <w:p>
            <w:pPr>
              <w:pStyle w:val="Compact"/>
              <w:jc w:val="left"/>
            </w:pPr>
            <w:r>
              <w:t xml:space="preserve">Grounding audit of ten plans (IOLG-121)</w:t>
            </w:r>
          </w:p>
        </w:tc>
        <w:tc>
          <w:tcPr/>
          <w:p>
            <w:pPr>
              <w:pStyle w:val="Compact"/>
              <w:jc w:val="left"/>
            </w:pPr>
            <w:r>
              <w:t xml:space="preserve">Unit yes; audit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UAT S4</w:t>
            </w:r>
          </w:p>
        </w:tc>
        <w:tc>
          <w:tcPr/>
          <w:p>
            <w:pPr>
              <w:pStyle w:val="Compact"/>
              <w:jc w:val="left"/>
            </w:pPr>
            <w:r>
              <w:t xml:space="preserve">Not built</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D4</w:t>
            </w:r>
            <w:r>
              <w:t xml:space="preserve"> </w:t>
            </w:r>
            <w:r>
              <w:t xml:space="preserve">Strengths</w:t>
            </w:r>
          </w:p>
        </w:tc>
        <w:tc>
          <w:tcPr/>
          <w:p>
            <w:pPr>
              <w:pStyle w:val="Compact"/>
              <w:jc w:val="left"/>
            </w:pPr>
            <w:r>
              <w:t xml:space="preserve">PR #23 tests</w:t>
            </w:r>
          </w:p>
        </w:tc>
        <w:tc>
          <w:tcPr/>
          <w:p>
            <w:pPr>
              <w:pStyle w:val="Compact"/>
              <w:jc w:val="left"/>
            </w:pPr>
            <w:r>
              <w:t xml:space="preserve">—</w:t>
            </w:r>
          </w:p>
        </w:tc>
        <w:tc>
          <w:tcPr/>
          <w:p>
            <w:pPr>
              <w:pStyle w:val="Compact"/>
              <w:jc w:val="left"/>
            </w:pPr>
            <w:r>
              <w:t xml:space="preserve">UAT D4</w:t>
            </w:r>
          </w:p>
        </w:tc>
        <w:tc>
          <w:tcPr/>
          <w:p>
            <w:pPr>
              <w:pStyle w:val="Compact"/>
              <w:jc w:val="left"/>
            </w:pPr>
            <w:r>
              <w:t xml:space="preserve">PR open</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t xml:space="preserve">—</w:t>
            </w:r>
          </w:p>
        </w:tc>
        <w:tc>
          <w:tcPr/>
          <w:p>
            <w:pPr>
              <w:pStyle w:val="Compact"/>
              <w:jc w:val="left"/>
            </w:pPr>
            <w:r>
              <w:t xml:space="preserve">—</w:t>
            </w:r>
          </w:p>
        </w:tc>
        <w:tc>
          <w:tcPr/>
          <w:p>
            <w:pPr>
              <w:pStyle w:val="Compact"/>
              <w:jc w:val="left"/>
            </w:pPr>
            <w:r>
              <w:t xml:space="preserve">UAT D6</w:t>
            </w:r>
          </w:p>
        </w:tc>
        <w:tc>
          <w:tcPr/>
          <w:p>
            <w:pPr>
              <w:pStyle w:val="Compact"/>
              <w:jc w:val="left"/>
            </w:pPr>
            <w:r>
              <w:t xml:space="preserve">Not built</w:t>
            </w:r>
          </w:p>
        </w:tc>
      </w:tr>
      <w:tr>
        <w:tc>
          <w:tcPr/>
          <w:p>
            <w:pPr>
              <w:pStyle w:val="Compact"/>
              <w:jc w:val="left"/>
            </w:pPr>
            <w:r>
              <w:rPr>
                <w:bCs/>
                <w:b/>
              </w:rPr>
              <w:t xml:space="preserve">D7</w:t>
            </w:r>
            <w:r>
              <w:t xml:space="preserve"> </w:t>
            </w:r>
            <w:r>
              <w:t xml:space="preserve">Next actions</w:t>
            </w:r>
          </w:p>
        </w:tc>
        <w:tc>
          <w:tcPr/>
          <w:p>
            <w:pPr>
              <w:pStyle w:val="Compact"/>
              <w:jc w:val="left"/>
            </w:pPr>
            <w:r>
              <w:t xml:space="preserve">—</w:t>
            </w:r>
          </w:p>
        </w:tc>
        <w:tc>
          <w:tcPr/>
          <w:p>
            <w:pPr>
              <w:pStyle w:val="Compact"/>
              <w:jc w:val="left"/>
            </w:pPr>
            <w:r>
              <w:t xml:space="preserve">—</w:t>
            </w:r>
          </w:p>
        </w:tc>
        <w:tc>
          <w:tcPr/>
          <w:p>
            <w:pPr>
              <w:pStyle w:val="Compact"/>
              <w:jc w:val="left"/>
            </w:pPr>
            <w:r>
              <w:t xml:space="preserve">UAT D7</w:t>
            </w:r>
          </w:p>
        </w:tc>
        <w:tc>
          <w:tcPr/>
          <w:p>
            <w:pPr>
              <w:pStyle w:val="Compact"/>
              <w:jc w:val="left"/>
            </w:pPr>
            <w:r>
              <w:t xml:space="preserve">Not built</w:t>
            </w:r>
          </w:p>
        </w:tc>
      </w:tr>
      <w:tr>
        <w:tc>
          <w:tcPr/>
          <w:p>
            <w:pPr>
              <w:pStyle w:val="Compact"/>
              <w:jc w:val="left"/>
            </w:pPr>
            <w:r>
              <w:rPr>
                <w:bCs/>
                <w:b/>
              </w:rPr>
              <w:t xml:space="preserve">D8</w:t>
            </w:r>
            <w:r>
              <w:t xml:space="preserve"> </w:t>
            </w:r>
            <w:r>
              <w:t xml:space="preserve">Student picker</w:t>
            </w:r>
          </w:p>
        </w:tc>
        <w:tc>
          <w:tcPr/>
          <w:p>
            <w:pPr>
              <w:pStyle w:val="Compact"/>
              <w:jc w:val="left"/>
            </w:pPr>
            <w:r>
              <w:t xml:space="preserve">PR #23 tests</w:t>
            </w:r>
          </w:p>
        </w:tc>
        <w:tc>
          <w:tcPr/>
          <w:p>
            <w:pPr>
              <w:pStyle w:val="Compact"/>
              <w:jc w:val="left"/>
            </w:pPr>
            <w:r>
              <w:t xml:space="preserve">—</w:t>
            </w:r>
          </w:p>
        </w:tc>
        <w:tc>
          <w:tcPr/>
          <w:p>
            <w:pPr>
              <w:pStyle w:val="Compact"/>
              <w:jc w:val="left"/>
            </w:pPr>
            <w:r>
              <w:t xml:space="preserve">UAT D8</w:t>
            </w:r>
          </w:p>
        </w:tc>
        <w:tc>
          <w:tcPr/>
          <w:p>
            <w:pPr>
              <w:pStyle w:val="Compact"/>
              <w:jc w:val="left"/>
            </w:pPr>
            <w:r>
              <w:t xml:space="preserve">PR open</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75"/>
    <w:bookmarkStart w:id="76"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76"/>
    <w:bookmarkStart w:id="77"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77"/>
    <w:bookmarkStart w:id="78" w:name="X52524d5b69f5f6d6ade9a3a3807de054c7c91ee"/>
    <w:p>
      <w:pPr>
        <w:pStyle w:val="Heading3"/>
      </w:pPr>
      <w:r>
        <w:t xml:space="preserve">6.5 Manual validation planned for Sprint 5 (⚠</w:t>
      </w:r>
      <w:r>
        <w:t xml:space="preserve"> </w:t>
      </w:r>
      <w:r>
        <w:rPr>
          <w:iCs/>
          <w:i/>
        </w:rPr>
        <w:t xml:space="preserve">TO FILL with results</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 file (planned)</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p>
        </w:tc>
        <w:tc>
          <w:tcPr/>
          <w:p>
            <w:pPr>
              <w:pStyle w:val="Compact"/>
              <w:jc w:val="left"/>
            </w:pPr>
            <w:r>
              <w:t xml:space="preserve">⚠</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p>
        </w:tc>
        <w:tc>
          <w:tcPr/>
          <w:p>
            <w:pPr>
              <w:pStyle w:val="Compact"/>
              <w:jc w:val="left"/>
            </w:pPr>
            <w:r>
              <w:t xml:space="preserve">⚠</w:t>
            </w:r>
          </w:p>
        </w:tc>
      </w:tr>
      <w:tr>
        <w:tc>
          <w:tcPr/>
          <w:p>
            <w:pPr>
              <w:pStyle w:val="Compact"/>
              <w:jc w:val="left"/>
            </w:pPr>
            <w:r>
              <w:t xml:space="preserve">Six security evidence results (role creation,</w:t>
            </w:r>
            <w:r>
              <w:t xml:space="preserve"> </w:t>
            </w:r>
            <w:r>
              <w:rPr>
                <w:rStyle w:val="VerbatimChar"/>
              </w:rPr>
              <w:t xml:space="preserve">UPDATE</w:t>
            </w:r>
            <w:r>
              <w:t xml:space="preserve"> </w:t>
            </w:r>
            <w:r>
              <w:t xml:space="preserve">denied, 15 fills readable,</w:t>
            </w:r>
            <w:r>
              <w:t xml:space="preserve"> </w:t>
            </w:r>
            <w:r>
              <w:rPr>
                <w:rStyle w:val="VerbatimChar"/>
              </w:rPr>
              <w:t xml:space="preserve">pg_dump</w:t>
            </w:r>
            <w:r>
              <w:t xml:space="preserve"> </w:t>
            </w:r>
            <w:r>
              <w:t xml:space="preserve">checksum unchanged, probe function list, CI scan output)</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docs/compliance-checklist.md</w:t>
            </w:r>
          </w:p>
        </w:tc>
        <w:tc>
          <w:tcPr/>
          <w:p>
            <w:pPr>
              <w:pStyle w:val="Compact"/>
              <w:jc w:val="left"/>
            </w:pPr>
            <w:r>
              <w:t xml:space="preserve">⚠</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docs/sprints/sprint-5/rebuild-&lt;date&gt;.log</w:t>
            </w:r>
          </w:p>
        </w:tc>
        <w:tc>
          <w:tcPr/>
          <w:p>
            <w:pPr>
              <w:pStyle w:val="Compact"/>
              <w:jc w:val="left"/>
            </w:pPr>
            <w:r>
              <w:t xml:space="preserve">⚠</w:t>
            </w:r>
          </w:p>
        </w:tc>
      </w:tr>
      <w:tr>
        <w:tc>
          <w:tcPr/>
          <w:p>
            <w:pPr>
              <w:pStyle w:val="Compact"/>
              <w:jc w:val="left"/>
            </w:pPr>
            <w:r>
              <w:t xml:space="preserve">UAT checklist S1–S6, D1–D10 walked with the owner</w:t>
            </w:r>
          </w:p>
        </w:tc>
        <w:tc>
          <w:tcPr/>
          <w:p>
            <w:pPr>
              <w:pStyle w:val="Compact"/>
              <w:jc w:val="left"/>
            </w:pPr>
            <w:r>
              <w:t xml:space="preserve">IOLG-127, IOLG-129</w:t>
            </w:r>
          </w:p>
        </w:tc>
        <w:tc>
          <w:tcPr/>
          <w:p>
            <w:pPr>
              <w:pStyle w:val="Compact"/>
              <w:jc w:val="left"/>
            </w:pPr>
            <w:r>
              <w:t xml:space="preserve">Sui Lung / Ayesha</w:t>
            </w:r>
          </w:p>
        </w:tc>
        <w:tc>
          <w:tcPr/>
          <w:p>
            <w:pPr>
              <w:pStyle w:val="Compact"/>
              <w:jc w:val="left"/>
            </w:pPr>
            <w:r>
              <w:rPr>
                <w:rStyle w:val="VerbatimChar"/>
              </w:rPr>
              <w:t xml:space="preserve">docs/uat-checklist.md</w:t>
            </w:r>
          </w:p>
        </w:tc>
        <w:tc>
          <w:tcPr/>
          <w:p>
            <w:pPr>
              <w:pStyle w:val="Compact"/>
              <w:jc w:val="left"/>
            </w:pPr>
            <w:r>
              <w:t xml:space="preserve">⚠</w:t>
            </w:r>
          </w:p>
        </w:tc>
      </w:tr>
    </w:tbl>
    <w:p>
      <w:r>
        <w:pict>
          <v:rect style="width:0;height:1.5pt" o:hralign="center" o:hrstd="t" o:hr="t"/>
        </w:pict>
      </w:r>
    </w:p>
    <w:bookmarkEnd w:id="78"/>
    <w:bookmarkEnd w:id="79"/>
    <w:bookmarkStart w:id="85" w:name="usability-trial-results"/>
    <w:p>
      <w:pPr>
        <w:pStyle w:val="Heading2"/>
      </w:pPr>
      <w:r>
        <w:t xml:space="preserve">7. Usability trial results</w:t>
      </w:r>
    </w:p>
    <w:p>
      <w:pPr>
        <w:pStyle w:val="FirstParagraph"/>
      </w:pPr>
      <w:r>
        <w:t xml:space="preserve">⚠</w:t>
      </w:r>
      <w:r>
        <w:t xml:space="preserve"> </w:t>
      </w:r>
      <w:r>
        <w:rPr>
          <w:iCs/>
          <w:i/>
        </w:rPr>
        <w:t xml:space="preserve">No usability trial has been run yet.</w:t>
      </w:r>
      <w:r>
        <w:t xml:space="preserve"> </w:t>
      </w:r>
      <w:r>
        <w:t xml:space="preserve">The trial is scheduled as part of the Sprint 5 review with the project owner on 4/5 October 2026. This section sets out who will test, what they will do, what is already known from owner feedback, and the table to fill. It is framed as the project owner’s roadmap because that is what the results are for.</w:t>
      </w:r>
    </w:p>
    <w:bookmarkStart w:id="80"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0"/>
    <w:bookmarkStart w:id="81"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7"/>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7"/>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7"/>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7"/>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7"/>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7"/>
        </w:numPr>
      </w:pPr>
      <w:r>
        <w:t xml:space="preserve">Assessment weighting was deprioritised.</w:t>
      </w:r>
      <w:r>
        <w:t xml:space="preserve"> </w:t>
      </w:r>
      <w:r>
        <w:rPr>
          <w:iCs/>
          <w:i/>
        </w:rPr>
        <w:t xml:space="preserve">Test: confirm D13’s approximation is acceptable.</w:t>
      </w:r>
    </w:p>
    <w:p>
      <w:pPr>
        <w:pStyle w:val="Compact"/>
        <w:numPr>
          <w:ilvl w:val="0"/>
          <w:numId w:val="1007"/>
        </w:numPr>
      </w:pPr>
      <w:r>
        <w:t xml:space="preserve">DevSecOps is a differentiator.</w:t>
      </w:r>
      <w:r>
        <w:t xml:space="preserve"> </w:t>
      </w:r>
      <w:r>
        <w:rPr>
          <w:iCs/>
          <w:i/>
        </w:rPr>
        <w:t xml:space="preserve">Test: walk the six security evidence items.</w:t>
      </w:r>
    </w:p>
    <w:bookmarkEnd w:id="81"/>
    <w:bookmarkStart w:id="82" w:name="results-to-fill-at-the-review"/>
    <w:p>
      <w:pPr>
        <w:pStyle w:val="Heading3"/>
      </w:pPr>
      <w:r>
        <w:t xml:space="preserve">7.3 Results (⚠</w:t>
      </w:r>
      <w:r>
        <w:t xml:space="preserve"> </w:t>
      </w:r>
      <w:r>
        <w:rPr>
          <w:iCs/>
          <w:i/>
        </w:rPr>
        <w:t xml:space="preserve">TO FILL at the review</w:t>
      </w:r>
      <w:r>
        <w:t xml:space="preserve">)</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S3</w:t>
            </w:r>
          </w:p>
        </w:tc>
        <w:tc>
          <w:tcPr/>
          <w:p>
            <w:pPr>
              <w:pStyle w:val="Compact"/>
              <w:jc w:val="left"/>
            </w:pPr>
            <w:r>
              <w:t xml:space="preserve">Learning plan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S4</w:t>
            </w:r>
          </w:p>
        </w:tc>
        <w:tc>
          <w:tcPr/>
          <w:p>
            <w:pPr>
              <w:pStyle w:val="Compact"/>
              <w:jc w:val="left"/>
            </w:pPr>
            <w:r>
              <w:t xml:space="preserve">Export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S6</w:t>
            </w:r>
          </w:p>
        </w:tc>
        <w:tc>
          <w:tcPr/>
          <w:p>
            <w:pPr>
              <w:pStyle w:val="Compact"/>
              <w:jc w:val="left"/>
            </w:pPr>
            <w:r>
              <w:t xml:space="preserve">Tests pass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2"/>
    <w:bookmarkStart w:id="83"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8"/>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8"/>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8"/>
        </w:numPr>
      </w:pPr>
      <w:r>
        <w:t xml:space="preserve">Recommended next actions on the student page from the learning plan (D7).</w:t>
      </w:r>
    </w:p>
    <w:p>
      <w:pPr>
        <w:pStyle w:val="Compact"/>
        <w:numPr>
          <w:ilvl w:val="0"/>
          <w:numId w:val="1008"/>
        </w:numPr>
      </w:pPr>
      <w:r>
        <w:t xml:space="preserve">A confirmation UI for the staff gate instead of the CLI.</w:t>
      </w:r>
    </w:p>
    <w:bookmarkEnd w:id="83"/>
    <w:bookmarkStart w:id="84"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4"/>
    <w:bookmarkEnd w:id="85"/>
    <w:bookmarkStart w:id="91"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86" w:name="descoped"/>
    <w:p>
      <w:pPr>
        <w:pStyle w:val="Heading3"/>
      </w:pPr>
      <w:r>
        <w:t xml:space="preserve">8.1 Descoped</w:t>
      </w:r>
    </w:p>
    <w:p>
      <w:pPr>
        <w:pStyle w:val="Compact"/>
        <w:numPr>
          <w:ilvl w:val="0"/>
          <w:numId w:val="1009"/>
        </w:numPr>
      </w:pPr>
      <w:r>
        <w:rPr>
          <w:bCs/>
          <w:b/>
        </w:rPr>
        <w:t xml:space="preserve">Adaptive quiz generation (R8).</w:t>
      </w:r>
      <w:r>
        <w:t xml:space="preserve"> </w:t>
      </w:r>
      <w:r>
        <w:t xml:space="preserve">Never started, by plan. The tender called it the first descope candidate: highest complexity-to-value, and</w:t>
      </w:r>
      <w:r>
        <w:t xml:space="preserve"> </w:t>
      </w:r>
      <w:r>
        <w:t xml:space="preserve">“</w:t>
      </w:r>
      <w:r>
        <w:t xml:space="preserve">most likely to look plausible while quietly not being grounded</w:t>
      </w:r>
      <w:r>
        <w:t xml:space="preserve">”</w:t>
      </w:r>
      <w:r>
        <w:t xml:space="preserve">. If it is built, it must follow the learning-plan pattern in §5.5 exactly: every question must cite the SILO and assessment it targets, and the grounding checks must include the answer key.</w:t>
      </w:r>
    </w:p>
    <w:p>
      <w:pPr>
        <w:pStyle w:val="Compact"/>
        <w:numPr>
          <w:ilvl w:val="0"/>
          <w:numId w:val="1009"/>
        </w:numPr>
      </w:pPr>
      <w:r>
        <w:rPr>
          <w:bCs/>
          <w:b/>
        </w:rPr>
        <w:t xml:space="preserve">Study-strategy recommendations (IOLG-123).</w:t>
      </w:r>
      <w:r>
        <w:t xml:space="preserve"> </w:t>
      </w:r>
      <w:r>
        <w:t xml:space="preserve">Optional in Sprint 5; cut if not started by 30 Sep. Same pattern as above; the cheapest next generated artefact because</w:t>
      </w:r>
      <w:r>
        <w:t xml:space="preserve"> </w:t>
      </w:r>
      <w:r>
        <w:rPr>
          <w:rStyle w:val="VerbatimChar"/>
        </w:rPr>
        <w:t xml:space="preserve">PlanContext</w:t>
      </w:r>
      <w:r>
        <w:t xml:space="preserve"> </w:t>
      </w:r>
      <w:r>
        <w:t xml:space="preserve">already carries everything it needs.</w:t>
      </w:r>
    </w:p>
    <w:p>
      <w:pPr>
        <w:pStyle w:val="Compact"/>
        <w:numPr>
          <w:ilvl w:val="0"/>
          <w:numId w:val="1009"/>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09"/>
        </w:numPr>
      </w:pPr>
      <w:r>
        <w:rPr>
          <w:bCs/>
          <w:b/>
        </w:rPr>
        <w:t xml:space="preserve">Threshold sensitivity chart.</w:t>
      </w:r>
      <w:r>
        <w:t xml:space="preserve"> </w:t>
      </w:r>
      <w:r>
        <w:t xml:space="preserve">Dropped from Sprint 5.</w:t>
      </w:r>
      <w:r>
        <w:t xml:space="preserve"> </w:t>
      </w:r>
      <w:r>
        <w:rPr>
          <w:rStyle w:val="VerbatimChar"/>
        </w:rPr>
        <w:t xml:space="preserve">catalogue_verify</w:t>
      </w:r>
      <w:r>
        <w:t xml:space="preserve"> </w:t>
      </w:r>
      <w:r>
        <w:t xml:space="preserve">gives the numbers; a chart over</w:t>
      </w:r>
      <w:r>
        <w:t xml:space="preserve"> </w:t>
      </w:r>
      <w:r>
        <w:rPr>
          <w:rStyle w:val="VerbatimChar"/>
        </w:rPr>
        <w:t xml:space="preserve">LJA_GAP_RELATIVE_GAP_CUTOFF</w:t>
      </w:r>
      <w:r>
        <w:t xml:space="preserve"> </w:t>
      </w:r>
      <w:r>
        <w:t xml:space="preserve">∈ {−0.5, −1.0, −1.5, −2.0} against planted-gap recall is a two-hour task once the generator is merged.</w:t>
      </w:r>
    </w:p>
    <w:bookmarkEnd w:id="86"/>
    <w:bookmarkStart w:id="87" w:name="deferred-with-the-reason"/>
    <w:p>
      <w:pPr>
        <w:pStyle w:val="Heading3"/>
      </w:pPr>
      <w:r>
        <w:t xml:space="preserve">8.2 Deferred, with the reason</w:t>
      </w:r>
    </w:p>
    <w:p>
      <w:pPr>
        <w:pStyle w:val="Compact"/>
        <w:numPr>
          <w:ilvl w:val="0"/>
          <w:numId w:val="1010"/>
        </w:numPr>
      </w:pPr>
      <w:r>
        <w:rPr>
          <w:bCs/>
          <w:b/>
        </w:rPr>
        <w:t xml:space="preserve">Embedding pre-pass for clustering.</w:t>
      </w:r>
      <w:r>
        <w:t xml:space="preserve"> </w:t>
      </w:r>
      <w:r>
        <w:t xml:space="preserve">Deviation recorded in ADR 0002. Reconsider now: the 52-SILO failure hit the ADR’s own trigger. The tagger and embedding client already exist on branch</w:t>
      </w:r>
      <w:r>
        <w:t xml:space="preserve"> </w:t>
      </w:r>
      <w:r>
        <w:rPr>
          <w:rStyle w:val="VerbatimChar"/>
        </w:rPr>
        <w:t xml:space="preserve">IOLG-113/handbook-crawl</w:t>
      </w:r>
      <w:r>
        <w:t xml:space="preserve"> </w:t>
      </w:r>
      <w:r>
        <w:t xml:space="preserve">(k-means over</w:t>
      </w:r>
      <w:r>
        <w:t xml:space="preserve"> </w:t>
      </w:r>
      <w:r>
        <w:rPr>
          <w:rStyle w:val="VerbatimChar"/>
        </w:rPr>
        <w:t xml:space="preserve">nomic-embed-text</w:t>
      </w:r>
      <w:r>
        <w:t xml:space="preserve"> </w:t>
      </w:r>
      <w:r>
        <w:t xml:space="preserve">embeddings, LLM-written labels) and were split out only pending the owner’s consent to use handbook content.</w:t>
      </w:r>
    </w:p>
    <w:p>
      <w:pPr>
        <w:pStyle w:val="Compact"/>
        <w:numPr>
          <w:ilvl w:val="0"/>
          <w:numId w:val="1010"/>
        </w:numPr>
      </w:pPr>
      <w:r>
        <w:rPr>
          <w:bCs/>
          <w:b/>
        </w:rPr>
        <w:t xml:space="preserve">Handbook crawl of real La Trobe SILOs.</w:t>
      </w:r>
      <w:r>
        <w:t xml:space="preserve"> </w:t>
      </w:r>
      <w:r>
        <w:t xml:space="preserve">Same branch. Needs the owner’s ruling on committing crawled content; the crawl itself regenerates in minutes from the sitemap.</w:t>
      </w:r>
    </w:p>
    <w:p>
      <w:pPr>
        <w:pStyle w:val="Compact"/>
        <w:numPr>
          <w:ilvl w:val="0"/>
          <w:numId w:val="1010"/>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0"/>
        </w:numPr>
      </w:pPr>
      <w:r>
        <w:rPr>
          <w:bCs/>
          <w:b/>
        </w:rPr>
        <w:t xml:space="preserve">Gap co-occurrence graph and trajectory model (IOLG-106).</w:t>
      </w:r>
      <w:r>
        <w:t xml:space="preserve"> </w:t>
      </w:r>
      <w:r>
        <w:t xml:space="preserve">Deferred until per-competency ability data exists (PR #24).</w:t>
      </w:r>
    </w:p>
    <w:p>
      <w:pPr>
        <w:pStyle w:val="Compact"/>
        <w:numPr>
          <w:ilvl w:val="0"/>
          <w:numId w:val="1010"/>
        </w:numPr>
      </w:pPr>
      <w:r>
        <w:rPr>
          <w:bCs/>
          <w:b/>
        </w:rPr>
        <w:t xml:space="preserve">Research export (R7, IOLG-120).</w:t>
      </w:r>
      <w:r>
        <w:t xml:space="preserve"> </w:t>
      </w:r>
      <w:r>
        <w:t xml:space="preserve">Mandatory in the tender and still open at the time of writing:</w:t>
      </w:r>
      <w:r>
        <w:t xml:space="preserve"> </w:t>
      </w:r>
      <w:r>
        <w:rPr>
          <w:rStyle w:val="VerbatimChar"/>
        </w:rPr>
        <w:t xml:space="preserve">python -m lja.export</w:t>
      </w:r>
      <w:r>
        <w:t xml:space="preserve"> </w:t>
      </w:r>
      <w:r>
        <w:t xml:space="preserve">with three CSVs, a manifest, and</w:t>
      </w:r>
      <w:r>
        <w:t xml:space="preserve"> </w:t>
      </w:r>
      <w:r>
        <w:rPr>
          <w:rStyle w:val="VerbatimChar"/>
        </w:rPr>
        <w:t xml:space="preserve">--anonymise</w:t>
      </w:r>
      <w:r>
        <w:t xml:space="preserve"> </w:t>
      </w:r>
      <w:r>
        <w:t xml:space="preserve">using salted stable pseudonyms (</w:t>
      </w:r>
      <w:r>
        <w:rPr>
          <w:rStyle w:val="VerbatimChar"/>
        </w:rPr>
        <w:t xml:space="preserve">LJA_EXPORT_SALT</w:t>
      </w:r>
      <w:r>
        <w:t xml:space="preserve">).</w:t>
      </w:r>
    </w:p>
    <w:p>
      <w:pPr>
        <w:pStyle w:val="Compact"/>
        <w:numPr>
          <w:ilvl w:val="0"/>
          <w:numId w:val="1010"/>
        </w:numPr>
      </w:pPr>
      <w:r>
        <w:rPr>
          <w:bCs/>
          <w:b/>
        </w:rPr>
        <w:t xml:space="preserve">Progress view (D6) and next actions (D7).</w:t>
      </w:r>
      <w:r>
        <w:t xml:space="preserve"> </w:t>
      </w:r>
      <w:r>
        <w:t xml:space="preserve">Open tickets IOLG-107 and IOLG-122.</w:t>
      </w:r>
    </w:p>
    <w:bookmarkEnd w:id="87"/>
    <w:bookmarkStart w:id="88" w:name="Xf427bac91b6968ac6e593f247411bef1c9f7963"/>
    <w:p>
      <w:pPr>
        <w:pStyle w:val="Heading3"/>
      </w:pPr>
      <w:r>
        <w:t xml:space="preserve">8.3 Late suggestions and engineering follow-ups</w:t>
      </w:r>
    </w:p>
    <w:p>
      <w:pPr>
        <w:pStyle w:val="Compact"/>
        <w:numPr>
          <w:ilvl w:val="0"/>
          <w:numId w:val="1011"/>
        </w:numPr>
      </w:pPr>
      <w:r>
        <w:t xml:space="preserve">Vendor and pin Chart.js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1"/>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1"/>
        </w:numPr>
      </w:pPr>
      <w:r>
        <w:t xml:space="preserve">Pseudonymise at ingest (owner FR-1.5) before any real data touches a cloud provider.</w:t>
      </w:r>
    </w:p>
    <w:p>
      <w:pPr>
        <w:pStyle w:val="Compact"/>
        <w:numPr>
          <w:ilvl w:val="0"/>
          <w:numId w:val="1011"/>
        </w:numPr>
      </w:pPr>
      <w:r>
        <w:t xml:space="preserve">A confirmation UI for the staff gate; today it is a CLI.</w:t>
      </w:r>
    </w:p>
    <w:p>
      <w:pPr>
        <w:pStyle w:val="Compact"/>
        <w:numPr>
          <w:ilvl w:val="0"/>
          <w:numId w:val="1011"/>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1"/>
        </w:numPr>
      </w:pPr>
      <w:r>
        <w:t xml:space="preserve">Chunked or hierarchical clustering with a merge pass, so the pipeline holds at 30-plus subjects.</w:t>
      </w:r>
    </w:p>
    <w:p>
      <w:pPr>
        <w:pStyle w:val="Compact"/>
        <w:numPr>
          <w:ilvl w:val="0"/>
          <w:numId w:val="1011"/>
        </w:numPr>
      </w:pPr>
      <w:r>
        <w:t xml:space="preserve">Reconcile SQL Query 6’s legacy thresholds with the Python engine, or delete Query 6.</w:t>
      </w:r>
    </w:p>
    <w:p>
      <w:pPr>
        <w:pStyle w:val="Compact"/>
        <w:numPr>
          <w:ilvl w:val="0"/>
          <w:numId w:val="1011"/>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1"/>
        </w:numPr>
      </w:pPr>
      <w:r>
        <w:t xml:space="preserve">A Moodle plugin exposing rubric fills as a web service (tender Option 3), which would remove the database credential from the production path entirely.</w:t>
      </w:r>
    </w:p>
    <w:bookmarkEnd w:id="88"/>
    <w:bookmarkStart w:id="89"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89"/>
    <w:bookmarkStart w:id="90" w:name="decisions-the-project-owner-still-holds"/>
    <w:p>
      <w:pPr>
        <w:pStyle w:val="Heading3"/>
      </w:pPr>
      <w:r>
        <w:t xml:space="preserve">8.5 Decisions the project owner still holds</w:t>
      </w:r>
    </w:p>
    <w:p>
      <w:pPr>
        <w:pStyle w:val="FirstParagraph"/>
      </w:pPr>
      <w:r>
        <w:t xml:space="preserve">At-risk rule (or none); ratified gap thresholds; LLM provider governance; availability of real de-identified attainment data; course maps for the CS, IT and Cyber degrees; the institutional competency framework, if any; consent to commit crawled handbook content; the export field set; the licence for the repository.</w:t>
      </w:r>
    </w:p>
    <w:p>
      <w:r>
        <w:pict>
          <v:rect style="width:0;height:1.5pt" o:hralign="center" o:hrstd="t" o:hr="t"/>
        </w:pict>
      </w:r>
    </w:p>
    <w:bookmarkEnd w:id="90"/>
    <w:bookmarkEnd w:id="91"/>
    <w:bookmarkStart w:id="92"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bl>
    <w:bookmarkEnd w:id="92"/>
    <w:bookmarkStart w:id="100"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Most metrics are on</w:t>
      </w:r>
      <w:r>
        <w:t xml:space="preserve"> </w:t>
      </w:r>
      <w:r>
        <w:rPr>
          <w:rStyle w:val="VerbatimChar"/>
        </w:rPr>
        <w:t xml:space="preserve">main</w:t>
      </w:r>
      <w:r>
        <w:t xml:space="preserve">. Two groups are not yet merged, and are labelled where they appear:</w:t>
      </w:r>
    </w:p>
    <w:p>
      <w:pPr>
        <w:pStyle w:val="Compact"/>
        <w:numPr>
          <w:ilvl w:val="0"/>
          <w:numId w:val="1012"/>
        </w:numPr>
      </w:pPr>
      <w:r>
        <w:rPr>
          <w:bCs/>
          <w:b/>
        </w:rPr>
        <w:t xml:space="preserve">PR #24</w:t>
      </w:r>
      <w:r>
        <w:t xml:space="preserve"> </w:t>
      </w:r>
      <w:r>
        <w:t xml:space="preserve">(IOLG-113, subject catalogue generator): the evaluation metrics for generated cohorts in B.6.</w:t>
      </w:r>
    </w:p>
    <w:p>
      <w:pPr>
        <w:pStyle w:val="Compact"/>
        <w:numPr>
          <w:ilvl w:val="0"/>
          <w:numId w:val="1012"/>
        </w:numPr>
      </w:pPr>
      <w:r>
        <w:rPr>
          <w:bCs/>
          <w:b/>
        </w:rPr>
        <w:t xml:space="preserve">Branch</w:t>
      </w:r>
      <w:r>
        <w:rPr>
          <w:bCs/>
          <w:b/>
        </w:rPr>
        <w:t xml:space="preserve"> </w:t>
      </w:r>
      <w:r>
        <w:rPr>
          <w:rStyle w:val="VerbatimChar"/>
          <w:bCs/>
          <w:b/>
        </w:rPr>
        <w:t xml:space="preserve">feature/silo-quality-views</w:t>
      </w:r>
      <w:r>
        <w:t xml:space="preserve"> </w:t>
      </w:r>
      <w:r>
        <w:t xml:space="preserve">(not yet in a pull request): the outcome-quality metrics in B.5.</w:t>
      </w:r>
    </w:p>
    <w:p>
      <w:pPr>
        <w:pStyle w:val="FirstParagraph"/>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3"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gap_evidence.py</w:t>
            </w:r>
            <w:r>
              <w:t xml:space="preserve"> </w:t>
            </w:r>
            <w:r>
              <w:t xml:space="preserve">(</w:t>
            </w:r>
            <w:r>
              <w:rPr>
                <w:rStyle w:val="VerbatimChar"/>
              </w:rPr>
              <w:t xml:space="preserve">describe_trend</w:t>
            </w:r>
            <w:r>
              <w:t xml:space="preserve">)</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w:t>
            </w:r>
          </w:p>
        </w:tc>
        <w:tc>
          <w:tcPr/>
          <w:p>
            <w:pPr>
              <w:pStyle w:val="Compact"/>
              <w:jc w:val="left"/>
            </w:pPr>
            <w:r>
              <w:t xml:space="preserve">branch</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branch</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PR #24</w:t>
            </w:r>
          </w:p>
        </w:tc>
      </w:tr>
    </w:tbl>
    <w:bookmarkEnd w:id="93"/>
    <w:bookmarkStart w:id="94"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4"/>
    <w:bookmarkStart w:id="95"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95"/>
    <w:bookmarkStart w:id="96"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Year level.</w:t>
      </w:r>
      <w:r>
        <w:t xml:space="preserve"> </w:t>
      </w:r>
      <w:r>
        <w:t xml:space="preserve">The first digit after the leading letters of a subject code: CSE</w:t>
      </w:r>
      <w:r>
        <w:rPr>
          <w:bCs/>
          <w:b/>
        </w:rPr>
        <w:t xml:space="preserve">2</w:t>
      </w:r>
      <w:r>
        <w:t xml:space="preserve">ALG is year 2. A code without that pattern has no year level, and is never guessed.</w:t>
      </w:r>
    </w:p>
    <w:p>
      <w:pPr>
        <w:pStyle w:val="BodyText"/>
      </w:pPr>
      <w:r>
        <w:rPr>
          <w:bCs/>
          <w:b/>
        </w:rPr>
        <w:t xml:space="preserve">Trend across subjects</w:t>
      </w:r>
      <w:r>
        <w:t xml:space="preserve"> </w:t>
      </w:r>
      <w:r>
        <w:t xml:space="preserve">(</w:t>
      </w:r>
      <w:r>
        <w:rPr>
          <w:rStyle w:val="VerbatimChar"/>
        </w:rPr>
        <w:t xml:space="preserve">describe_trend()</w:t>
      </w:r>
      <w:r>
        <w:t xml:space="preserve">). Take the per-subject attainments of the subjects that have a year level, in year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latest year’s attainment minus the earliest year’s:</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5-point band is</w:t>
      </w:r>
      <w:r>
        <w:t xml:space="preserve"> </w:t>
      </w:r>
      <w:r>
        <w:t xml:space="preserve">“</w:t>
      </w:r>
      <w:r>
        <w:t xml:space="preserve">a reasoned starting point, not a measured threshold</w:t>
      </w:r>
      <w:r>
        <w:t xml:space="preserve">”</w:t>
      </w:r>
      <w:r>
        <w:t xml:space="preserve"> </w:t>
      </w:r>
      <w:r>
        <w:t xml:space="preserve">(code comment) and has not been ratified.</w:t>
      </w:r>
    </w:p>
    <w:p>
      <w:pPr>
        <w:pStyle w:val="BodyText"/>
      </w:pPr>
      <w:r>
        <w:rPr>
          <w:bCs/>
          <w:b/>
        </w:rPr>
        <w:t xml:space="preserve">Future subjects sharing a competency.</w:t>
      </w:r>
      <w:r>
        <w:t xml:space="preserve"> </w:t>
      </w:r>
      <w:r>
        <w:t xml:space="preserve">Subjects in the competency’s cluster in which the student has no results yet. These are candidates to watch,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 and</w:t>
      </w:r>
      <w:r>
        <w:t xml:space="preserve"> </w:t>
      </w:r>
      <w:r>
        <w:rPr>
          <w:iCs/>
          <w:i/>
        </w:rPr>
        <w:t xml:space="preserve">Students with a persistent gap</w:t>
      </w:r>
      <w:r>
        <w:t xml:space="preserve">: at least one competency classified</w:t>
      </w:r>
      <w:r>
        <w:t xml:space="preserve"> </w:t>
      </w:r>
      <w:r>
        <w:rPr>
          <w:iCs/>
          <w:i/>
        </w:rPr>
        <w:t xml:space="preserve">persistent gap</w:t>
      </w:r>
      <w:r>
        <w:t xml:space="preserve">.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96"/>
    <w:bookmarkStart w:id="97" w:name="b.5-outcome-quality-metrics"/>
    <w:p>
      <w:pPr>
        <w:pStyle w:val="Heading3"/>
      </w:pPr>
      <w:r>
        <w:t xml:space="preserve">B.5 Outcome-quality metrics</w:t>
      </w:r>
    </w:p>
    <w:p>
      <w:pPr>
        <w:pStyle w:val="FirstParagraph"/>
      </w:pPr>
      <w:r>
        <w:rPr>
          <w:iCs/>
          <w:i/>
        </w:rPr>
        <w:t xml:space="preserve">Branch</w:t>
      </w:r>
      <w:r>
        <w:rPr>
          <w:iCs/>
          <w:i/>
        </w:rPr>
        <w:t xml:space="preserve"> </w:t>
      </w:r>
      <w:r>
        <w:rPr>
          <w:rStyle w:val="VerbatimChar"/>
          <w:iCs/>
          <w:i/>
        </w:rPr>
        <w:t xml:space="preserve">feature/silo-quality-views</w:t>
      </w:r>
      <w:r>
        <w:rPr>
          <w:iCs/>
          <w:i/>
        </w:rPr>
        <w:t xml:space="preserve">, not yet in a pull request.</w:t>
      </w:r>
      <w:r>
        <w:t xml:space="preserve"> </w:t>
      </w: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and</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97"/>
    <w:bookmarkStart w:id="98" w:name="X954c5dbeb8a80ac3dddf0c3ce2309c29100eeea"/>
    <w:p>
      <w:pPr>
        <w:pStyle w:val="Heading3"/>
      </w:pPr>
      <w:r>
        <w:t xml:space="preserve">B.6 Evaluation metrics for generated cohorts</w:t>
      </w:r>
    </w:p>
    <w:p>
      <w:pPr>
        <w:pStyle w:val="FirstParagraph"/>
      </w:pPr>
      <w:r>
        <w:rPr>
          <w:iCs/>
          <w:i/>
        </w:rPr>
        <w:t xml:space="preserve">PR #24.</w:t>
      </w:r>
      <w:r>
        <w:t xml:space="preserve"> </w:t>
      </w: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98"/>
    <w:bookmarkStart w:id="99"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t xml:space="preserve">The ±5 points in B.4 and B.5</w:t>
            </w:r>
          </w:p>
        </w:tc>
        <w:tc>
          <w:tcPr/>
          <w:p>
            <w:pPr>
              <w:pStyle w:val="Compact"/>
              <w:jc w:val="left"/>
            </w:pPr>
            <w:r>
              <w:t xml:space="preserve">Ratify, or tune on a real multi-year dataset</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99"/>
    <w:bookmarkEnd w:id="100"/>
    <w:bookmarkStart w:id="101"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w:t>
            </w:r>
          </w:p>
        </w:tc>
      </w:tr>
    </w:tbl>
    <w:bookmarkEnd w:id="101"/>
    <w:bookmarkStart w:id="102"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bl>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2026-09-29T12:39:49Z</dcterms:created>
  <dcterms:modified xsi:type="dcterms:W3CDTF">2026-09-29T12:39:49Z</dcterms:modified>
</cp:coreProperties>
</file>

<file path=docProps/custom.xml><?xml version="1.0" encoding="utf-8"?>
<Properties xmlns="http://schemas.openxmlformats.org/officeDocument/2006/custom-properties" xmlns:vt="http://schemas.openxmlformats.org/officeDocument/2006/docPropsVTypes"/>
</file>