
<file path=[Content_Types].xml><?xml version="1.0" encoding="utf-8"?>
<Types xmlns="http://schemas.openxmlformats.org/package/2006/content-types">
  <Default Extension="svg" ContentType="image/svg+xml"/>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X96de7c0e2a5381c8f288bdc6bf82a6e39192389"/>
    <w:p>
      <w:pPr>
        <w:pStyle w:val="Heading1"/>
      </w:pPr>
      <w:r>
        <w:t xml:space="preserve">Learning Journey Assistant — Data and Algorithm Pipeline</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Version</w:t>
            </w:r>
          </w:p>
        </w:tc>
        <w:tc>
          <w:tcPr/>
          <w:p>
            <w:pPr>
              <w:pStyle w:val="Compact"/>
              <w:jc w:val="left"/>
            </w:pPr>
            <w:r>
              <w:t xml:space="preserve">2.0, 3 October 2026. Supersedes the 11 August 2026 page, which described the target design before any of it ran.</w:t>
            </w:r>
          </w:p>
        </w:tc>
      </w:tr>
      <w:tr>
        <w:tc>
          <w:tcPr/>
          <w:p>
            <w:pPr>
              <w:pStyle w:val="Compact"/>
              <w:jc w:val="left"/>
            </w:pPr>
            <w:r>
              <w:rPr>
                <w:bCs/>
                <w:b/>
              </w:rPr>
              <w:t xml:space="preserve">Describes</w:t>
            </w:r>
          </w:p>
        </w:tc>
        <w:tc>
          <w:tcPr/>
          <w:p>
            <w:pPr>
              <w:pStyle w:val="Compact"/>
              <w:jc w:val="left"/>
            </w:pPr>
            <w:r>
              <w:rPr>
                <w:rStyle w:val="VerbatimChar"/>
              </w:rPr>
              <w:t xml:space="preserve">main</w:t>
            </w:r>
            <w:r>
              <w:t xml:space="preserve"> </w:t>
            </w:r>
            <w:r>
              <w:t xml:space="preserve">at</w:t>
            </w:r>
            <w:r>
              <w:t xml:space="preserve"> </w:t>
            </w:r>
            <w:r>
              <w:rPr>
                <w:rStyle w:val="VerbatimChar"/>
              </w:rPr>
              <w:t xml:space="preserve">b4ccebd</w:t>
            </w:r>
            <w:r>
              <w:t xml:space="preserve"> </w:t>
            </w:r>
            <w:r>
              <w:t xml:space="preserve">(3 Oct 2026), after pull requests #52 to #54 and #25; the opt-in Generate button is in open PR #55</w:t>
            </w:r>
          </w:p>
        </w:tc>
      </w:tr>
      <w:tr>
        <w:tc>
          <w:tcPr/>
          <w:p>
            <w:pPr>
              <w:pStyle w:val="Compact"/>
              <w:jc w:val="left"/>
            </w:pPr>
            <w:r>
              <w:rPr>
                <w:bCs/>
                <w:b/>
              </w:rPr>
              <w:t xml:space="preserve">Source</w:t>
            </w:r>
          </w:p>
        </w:tc>
        <w:tc>
          <w:tcPr/>
          <w:p>
            <w:pPr>
              <w:pStyle w:val="Compact"/>
              <w:jc w:val="left"/>
            </w:pPr>
            <w:r>
              <w:rPr>
                <w:rStyle w:val="VerbatimChar"/>
              </w:rPr>
              <w:t xml:space="preserve">docs/design/data-and-algorithm-pipeline.md</w:t>
            </w:r>
            <w:r>
              <w:t xml:space="preserve">; diagrams rendered from</w:t>
            </w:r>
            <w:r>
              <w:t xml:space="preserve"> </w:t>
            </w:r>
            <w:r>
              <w:rPr>
                <w:rStyle w:val="VerbatimChar"/>
              </w:rPr>
              <w:t xml:space="preserve">docs/handover/diagrams/*.mmd</w:t>
            </w:r>
            <w:r>
              <w:t xml:space="preserve">. Rebuild with</w:t>
            </w:r>
            <w:r>
              <w:t xml:space="preserve"> </w:t>
            </w:r>
            <w:r>
              <w:rPr>
                <w:rStyle w:val="VerbatimChar"/>
              </w:rPr>
              <w:t xml:space="preserve">docs/design/build.sh</w:t>
            </w:r>
          </w:p>
        </w:tc>
      </w:tr>
      <w:tr>
        <w:tc>
          <w:tcPr/>
          <w:p>
            <w:pPr>
              <w:pStyle w:val="Compact"/>
              <w:jc w:val="left"/>
            </w:pPr>
            <w:r>
              <w:rPr>
                <w:bCs/>
                <w:b/>
              </w:rPr>
              <w:t xml:space="preserve">Companions</w:t>
            </w:r>
          </w:p>
        </w:tc>
        <w:tc>
          <w:tcPr/>
          <w:p>
            <w:pPr>
              <w:pStyle w:val="Compact"/>
              <w:jc w:val="left"/>
            </w:pPr>
            <w:r>
              <w:rPr>
                <w:iCs/>
                <w:i/>
              </w:rPr>
              <w:t xml:space="preserve">CLI Pipeline</w:t>
            </w:r>
            <w:r>
              <w:t xml:space="preserve"> </w:t>
            </w:r>
            <w:r>
              <w:t xml:space="preserve">(what one</w:t>
            </w:r>
            <w:r>
              <w:t xml:space="preserve"> </w:t>
            </w:r>
            <w:r>
              <w:rPr>
                <w:rStyle w:val="VerbatimChar"/>
              </w:rPr>
              <w:t xml:space="preserve">lja.cli</w:t>
            </w:r>
            <w:r>
              <w:t xml:space="preserve"> </w:t>
            </w:r>
            <w:r>
              <w:t xml:space="preserve">run does),</w:t>
            </w:r>
            <w:r>
              <w:t xml:space="preserve"> </w:t>
            </w:r>
            <w:r>
              <w:rPr>
                <w:iCs/>
                <w:i/>
              </w:rPr>
              <w:t xml:space="preserve">UML Use Case and Sequence Diagrams</w:t>
            </w:r>
            <w:r>
              <w:t xml:space="preserve">, the System Maintenance Document (the full reference) and the User Document (how to read the dashboard)</w:t>
            </w:r>
          </w:p>
        </w:tc>
      </w:tr>
    </w:tbl>
    <w:bookmarkStart w:id="23" w:name="how-a-mark-becomes-a-recommendation"/>
    <w:p>
      <w:pPr>
        <w:pStyle w:val="Heading2"/>
      </w:pPr>
      <w:r>
        <w:t xml:space="preserve">How a mark becomes a recommendation</w:t>
      </w:r>
    </w:p>
    <w:p>
      <w:pPr>
        <w:pStyle w:val="FirstParagraph"/>
      </w:pPr>
      <w:r>
        <w:t xml:space="preserve">Seven stages, one algorithmic core. Everything before gap detection is plumbing that produces one in-memory dataset; everything after it is presentation or generation that reads the gap engine’s verdicts. The language model is allowed to see structured data only, and every name it returns is checked against that data before anything is written.</w:t>
      </w:r>
    </w:p>
    <w:p>
      <w:pPr>
        <w:pStyle w:val="CaptionedFigure"/>
      </w:pPr>
      <w:r>
        <w:drawing>
          <wp:inline>
            <wp:extent cx="5334000" cy="2835910"/>
            <wp:effectExtent b="0" l="0" r="0" t="0"/>
            <wp:docPr descr="LJA architecture" title="" id="21" name="Picture"/>
            <a:graphic>
              <a:graphicData uri="http://schemas.openxmlformats.org/drawingml/2006/picture">
                <pic:pic>
                  <pic:nvPicPr>
                    <pic:cNvPr descr="../handover/diagrams/01-architecture.png" id="22" name="Picture"/>
                    <pic:cNvPicPr>
                      <a:picLocks noChangeArrowheads="1" noChangeAspect="1"/>
                    </pic:cNvPicPr>
                  </pic:nvPicPr>
                  <pic:blipFill>
                    <a:blip r:embed="rId20"/>
                    <a:stretch>
                      <a:fillRect/>
                    </a:stretch>
                  </pic:blipFill>
                  <pic:spPr bwMode="auto">
                    <a:xfrm>
                      <a:off x="0" y="0"/>
                      <a:ext cx="5334000" cy="2835910"/>
                    </a:xfrm>
                    <a:prstGeom prst="rect">
                      <a:avLst/>
                    </a:prstGeom>
                    <a:noFill/>
                    <a:ln w="9525">
                      <a:noFill/>
                      <a:headEnd/>
                      <a:tailEnd/>
                    </a:ln>
                  </pic:spPr>
                </pic:pic>
              </a:graphicData>
            </a:graphic>
          </wp:inline>
        </w:drawing>
      </w:r>
    </w:p>
    <w:p>
      <w:pPr>
        <w:pStyle w:val="ImageCaption"/>
      </w:pPr>
      <w:r>
        <w:t xml:space="preserve">LJA architecture</w:t>
      </w:r>
    </w:p>
    <w:p>
      <w:pPr>
        <w:pStyle w:val="BodyText"/>
      </w:pPr>
      <w:r>
        <w:rPr>
          <w:iCs/>
          <w:i/>
        </w:rPr>
        <w:t xml:space="preserve">Figure 1: Sources, data layer, the</w:t>
      </w:r>
      <w:r>
        <w:rPr>
          <w:iCs/>
          <w:i/>
        </w:rPr>
        <w:t xml:space="preserve"> </w:t>
      </w:r>
      <w:r>
        <w:rPr>
          <w:rStyle w:val="VerbatimChar"/>
          <w:iCs/>
          <w:i/>
        </w:rPr>
        <w:t xml:space="preserve">LjaDataset</w:t>
      </w:r>
      <w:r>
        <w:rPr>
          <w:iCs/>
          <w:i/>
        </w:rPr>
        <w:t xml:space="preserve"> </w:t>
      </w:r>
      <w:r>
        <w:rPr>
          <w:iCs/>
          <w:i/>
        </w:rPr>
        <w:t xml:space="preserve">interchange type, model layer, LLM layer, outputs and dashboard. Source:</w:t>
      </w:r>
      <w:r>
        <w:rPr>
          <w:iCs/>
          <w:i/>
        </w:rPr>
        <w:t xml:space="preserve"> </w:t>
      </w:r>
      <w:r>
        <w:rPr>
          <w:rStyle w:val="VerbatimChar"/>
          <w:iCs/>
          <w:i/>
        </w:rPr>
        <w:t xml:space="preserve">docs/handover/diagrams/01-architecture.mmd</w:t>
      </w:r>
      <w:r>
        <w:rPr>
          <w:iCs/>
          <w:i/>
        </w:rPr>
        <w:t xml:space="preserve">.</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Owning code</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Status, 3 Oct 2026</w:t>
            </w:r>
          </w:p>
        </w:tc>
      </w:tr>
      <w:tr>
        <w:tc>
          <w:tcPr/>
          <w:p>
            <w:pPr>
              <w:pStyle w:val="Compact"/>
              <w:jc w:val="left"/>
            </w:pPr>
            <w:r>
              <w:t xml:space="preserve">Sources</w:t>
            </w:r>
          </w:p>
        </w:tc>
        <w:tc>
          <w:tcPr/>
          <w:p>
            <w:pPr>
              <w:pStyle w:val="Compact"/>
              <w:jc w:val="left"/>
            </w:pPr>
            <w:r>
              <w:rPr>
                <w:rStyle w:val="VerbatimChar"/>
              </w:rPr>
              <w:t xml:space="preserve">data-fixtures/</w:t>
            </w:r>
            <w:r>
              <w:t xml:space="preserve">,</w:t>
            </w:r>
            <w:r>
              <w:t xml:space="preserve"> </w:t>
            </w:r>
            <w:r>
              <w:rPr>
                <w:rStyle w:val="VerbatimChar"/>
              </w:rPr>
              <w:t xml:space="preserve">devenv/</w:t>
            </w:r>
            <w:r>
              <w:t xml:space="preserve">,</w:t>
            </w:r>
            <w:r>
              <w:t xml:space="preserve"> </w:t>
            </w:r>
            <w:r>
              <w:rPr>
                <w:rStyle w:val="VerbatimChar"/>
              </w:rPr>
              <w:t xml:space="preserve">lja.data.handbook</w:t>
            </w:r>
            <w:r>
              <w:t xml:space="preserve">,</w:t>
            </w:r>
            <w:r>
              <w:t xml:space="preserve"> </w:t>
            </w:r>
            <w:r>
              <w:rPr>
                <w:rStyle w:val="VerbatimChar"/>
              </w:rPr>
              <w:t xml:space="preserve">lja.data.catalogue_generator</w:t>
            </w:r>
          </w:p>
        </w:tc>
        <w:tc>
          <w:tcPr/>
          <w:p>
            <w:pPr>
              <w:pStyle w:val="Compact"/>
              <w:jc w:val="left"/>
            </w:pPr>
            <w:r>
              <w:t xml:space="preserve">The owner’s workbook; a Moodle 5.2 database; the public La Trobe handbook; a subject catalogue</w:t>
            </w:r>
          </w:p>
        </w:tc>
        <w:tc>
          <w:tcPr/>
          <w:p>
            <w:pPr>
              <w:pStyle w:val="Compact"/>
              <w:jc w:val="left"/>
            </w:pPr>
            <w:r>
              <w:t xml:space="preserve">A workbook, or rubric fills, or a synthetic cohort with an answer key</w:t>
            </w:r>
          </w:p>
        </w:tc>
        <w:tc>
          <w:tcPr/>
          <w:p>
            <w:pPr>
              <w:pStyle w:val="Compact"/>
              <w:jc w:val="left"/>
            </w:pPr>
            <w:r>
              <w:t xml:space="preserve">Working. Moodle proven for one seeded subject with read-only enforcement observed (IOLG-111). The handbook crawl and the 100-subject, 5,000-student cohort are reproducible but not committed.</w:t>
            </w:r>
          </w:p>
        </w:tc>
      </w:tr>
      <w:tr>
        <w:tc>
          <w:tcPr/>
          <w:p>
            <w:pPr>
              <w:pStyle w:val="Compact"/>
              <w:jc w:val="left"/>
            </w:pPr>
            <w:r>
              <w:t xml:space="preserve">Extraction</w:t>
            </w:r>
          </w:p>
        </w:tc>
        <w:tc>
          <w:tcPr/>
          <w:p>
            <w:pPr>
              <w:pStyle w:val="Compact"/>
              <w:jc w:val="left"/>
            </w:pPr>
            <w:r>
              <w:rPr>
                <w:rStyle w:val="VerbatimChar"/>
              </w:rPr>
              <w:t xml:space="preserve">lja.data.excel_loader</w:t>
            </w:r>
            <w:r>
              <w:t xml:space="preserve">,</w:t>
            </w:r>
            <w:r>
              <w:t xml:space="preserve"> </w:t>
            </w:r>
            <w:r>
              <w:rPr>
                <w:rStyle w:val="VerbatimChar"/>
              </w:rPr>
              <w:t xml:space="preserve">lja.data.moodle_loader</w:t>
            </w:r>
            <w:r>
              <w:t xml:space="preserve"> </w:t>
            </w:r>
            <w:r>
              <w:t xml:space="preserve">+</w:t>
            </w:r>
            <w:r>
              <w:t xml:space="preserve"> </w:t>
            </w:r>
            <w:r>
              <w:rPr>
                <w:rStyle w:val="VerbatimChar"/>
              </w:rPr>
              <w:t xml:space="preserve">sql/</w:t>
            </w:r>
            <w:r>
              <w:t xml:space="preserve">,</w:t>
            </w:r>
            <w:r>
              <w:t xml:space="preserve"> </w:t>
            </w:r>
            <w:r>
              <w:rPr>
                <w:rStyle w:val="VerbatimChar"/>
              </w:rPr>
              <w:t xml:space="preserve">lja.data.loading</w:t>
            </w:r>
          </w:p>
        </w:tc>
        <w:tc>
          <w:tcPr/>
          <w:p>
            <w:pPr>
              <w:pStyle w:val="Compact"/>
              <w:jc w:val="left"/>
            </w:pPr>
            <w:r>
              <w:t xml:space="preserve">Workbook sheets, or SQL Query 2 over the rubric tables plus a staff-edited criterion-to-SILO map</w:t>
            </w:r>
          </w:p>
        </w:tc>
        <w:tc>
          <w:tcPr/>
          <w:p>
            <w:pPr>
              <w:pStyle w:val="Compact"/>
              <w:jc w:val="left"/>
            </w:pPr>
            <w:r>
              <w:t xml:space="preserve">One</w:t>
            </w:r>
            <w:r>
              <w:t xml:space="preserve"> </w:t>
            </w:r>
            <w:r>
              <w:rPr>
                <w:rStyle w:val="VerbatimChar"/>
              </w:rPr>
              <w:t xml:space="preserve">LjaDataset</w:t>
            </w:r>
            <w:r>
              <w:t xml:space="preserve">: SILOs, assessments, result rows, student summaries</w:t>
            </w:r>
          </w:p>
        </w:tc>
        <w:tc>
          <w:tcPr/>
          <w:p>
            <w:pPr>
              <w:pStyle w:val="Compact"/>
              <w:jc w:val="left"/>
            </w:pPr>
            <w:r>
              <w:t xml:space="preserve">Working. Both loaders produce the same type;</w:t>
            </w:r>
            <w:r>
              <w:t xml:space="preserve"> </w:t>
            </w:r>
            <w:r>
              <w:rPr>
                <w:rStyle w:val="VerbatimChar"/>
              </w:rPr>
              <w:t xml:space="preserve">--source excel</w:t>
            </w:r>
            <w:r>
              <w:t xml:space="preserve"> </w:t>
            </w:r>
            <w:r>
              <w:t xml:space="preserve">or</w:t>
            </w:r>
            <w:r>
              <w:t xml:space="preserve"> </w:t>
            </w:r>
            <w:r>
              <w:rPr>
                <w:rStyle w:val="VerbatimChar"/>
              </w:rPr>
              <w:t xml:space="preserve">moodle</w:t>
            </w:r>
            <w:r>
              <w:t xml:space="preserve"> </w:t>
            </w:r>
            <w:r>
              <w:t xml:space="preserve">on every command.</w:t>
            </w:r>
          </w:p>
        </w:tc>
      </w:tr>
      <w:tr>
        <w:tc>
          <w:tcPr/>
          <w:p>
            <w:pPr>
              <w:pStyle w:val="Compact"/>
              <w:jc w:val="left"/>
            </w:pPr>
            <w:r>
              <w:t xml:space="preserve">Clustering</w:t>
            </w:r>
          </w:p>
        </w:tc>
        <w:tc>
          <w:tcPr/>
          <w:p>
            <w:pPr>
              <w:pStyle w:val="Compact"/>
              <w:jc w:val="left"/>
            </w:pPr>
            <w:r>
              <w:rPr>
                <w:rStyle w:val="VerbatimChar"/>
              </w:rPr>
              <w:t xml:space="preserve">lja.model.silo_clustering</w:t>
            </w:r>
            <w:r>
              <w:t xml:space="preserve">,</w:t>
            </w:r>
            <w:r>
              <w:t xml:space="preserve"> </w:t>
            </w:r>
            <w:r>
              <w:rPr>
                <w:rStyle w:val="VerbatimChar"/>
              </w:rPr>
              <w:t xml:space="preserve">lja.llm</w:t>
            </w:r>
          </w:p>
        </w:tc>
        <w:tc>
          <w:tcPr/>
          <w:p>
            <w:pPr>
              <w:pStyle w:val="Compact"/>
              <w:jc w:val="left"/>
            </w:pPr>
            <w:r>
              <w:t xml:space="preserve">SILO wording</w:t>
            </w:r>
          </w:p>
        </w:tc>
        <w:tc>
          <w:tcPr/>
          <w:p>
            <w:pPr>
              <w:pStyle w:val="Compact"/>
              <w:jc w:val="left"/>
            </w:pPr>
            <w:r>
              <w:t xml:space="preserve">Competency clusters with a label and rationale, cached as</w:t>
            </w:r>
            <w:r>
              <w:t xml:space="preserve"> </w:t>
            </w:r>
            <w:r>
              <w:rPr>
                <w:rStyle w:val="VerbatimChar"/>
              </w:rPr>
              <w:t xml:space="preserve">silo_clustering.json</w:t>
            </w:r>
          </w:p>
        </w:tc>
        <w:tc>
          <w:tcPr/>
          <w:p>
            <w:pPr>
              <w:pStyle w:val="Compact"/>
              <w:jc w:val="left"/>
            </w:pPr>
            <w:r>
              <w:t xml:space="preserve">Working with coverage validation and retry. Single-call clustering fails above about 50 SILOs; the embedding tagger in</w:t>
            </w:r>
            <w:r>
              <w:t xml:space="preserve"> </w:t>
            </w:r>
            <w:r>
              <w:rPr>
                <w:rStyle w:val="VerbatimChar"/>
              </w:rPr>
              <w:t xml:space="preserve">lja.data.competency_tagger</w:t>
            </w:r>
            <w:r>
              <w:t xml:space="preserve"> </w:t>
            </w:r>
            <w:r>
              <w:t xml:space="preserve">is the staged answer (ADR 0002 trigger hit).</w:t>
            </w:r>
          </w:p>
        </w:tc>
      </w:tr>
      <w:tr>
        <w:tc>
          <w:tcPr/>
          <w:p>
            <w:pPr>
              <w:pStyle w:val="Compact"/>
              <w:jc w:val="left"/>
            </w:pPr>
            <w:r>
              <w:t xml:space="preserve">Staff gate</w:t>
            </w:r>
          </w:p>
        </w:tc>
        <w:tc>
          <w:tcPr/>
          <w:p>
            <w:pPr>
              <w:pStyle w:val="Compact"/>
              <w:jc w:val="left"/>
            </w:pPr>
            <w:r>
              <w:rPr>
                <w:rStyle w:val="VerbatimChar"/>
              </w:rPr>
              <w:t xml:space="preserve">lja.review</w:t>
            </w:r>
          </w:p>
        </w:tc>
        <w:tc>
          <w:tcPr/>
          <w:p>
            <w:pPr>
              <w:pStyle w:val="Compact"/>
              <w:jc w:val="left"/>
            </w:pPr>
            <w:r>
              <w:t xml:space="preserve">The cache</w:t>
            </w:r>
          </w:p>
        </w:tc>
        <w:tc>
          <w:tcPr/>
          <w:p>
            <w:pPr>
              <w:pStyle w:val="Compact"/>
              <w:jc w:val="left"/>
            </w:pPr>
            <w:r>
              <w:rPr>
                <w:rStyle w:val="VerbatimChar"/>
              </w:rPr>
              <w:t xml:space="preserve">.review.json</w:t>
            </w:r>
            <w:r>
              <w:t xml:space="preserve"> </w:t>
            </w:r>
            <w:r>
              <w:t xml:space="preserve">with pending / confirmed / rejected per cluster</w:t>
            </w:r>
          </w:p>
        </w:tc>
        <w:tc>
          <w:tcPr/>
          <w:p>
            <w:pPr>
              <w:pStyle w:val="Compact"/>
              <w:jc w:val="left"/>
            </w:pPr>
            <w:r>
              <w:t xml:space="preserve">Working, CLI only. A rejected cluster stops the pipeline; pending needs</w:t>
            </w:r>
            <w:r>
              <w:t xml:space="preserve"> </w:t>
            </w:r>
            <w:r>
              <w:rPr>
                <w:rStyle w:val="VerbatimChar"/>
              </w:rPr>
              <w:t xml:space="preserve">--allow-unconfirmed</w:t>
            </w:r>
            <w:r>
              <w:t xml:space="preserve">; the dashboard shows a banner.</w:t>
            </w:r>
          </w:p>
        </w:tc>
      </w:tr>
      <w:tr>
        <w:tc>
          <w:tcPr/>
          <w:p>
            <w:pPr>
              <w:pStyle w:val="Compact"/>
              <w:jc w:val="left"/>
            </w:pPr>
            <w:r>
              <w:t xml:space="preserve">Gap detection</w:t>
            </w:r>
          </w:p>
        </w:tc>
        <w:tc>
          <w:tcPr/>
          <w:p>
            <w:pPr>
              <w:pStyle w:val="Compact"/>
              <w:jc w:val="left"/>
            </w:pPr>
            <w:r>
              <w:rPr>
                <w:rStyle w:val="VerbatimChar"/>
              </w:rPr>
              <w:t xml:space="preserve">lja.model.gap_detection</w:t>
            </w:r>
            <w:r>
              <w:t xml:space="preserve">,</w:t>
            </w:r>
            <w:r>
              <w:t xml:space="preserve"> </w:t>
            </w:r>
            <w:r>
              <w:rPr>
                <w:rStyle w:val="VerbatimChar"/>
              </w:rPr>
              <w:t xml:space="preserve">gap_evidence</w:t>
            </w:r>
            <w:r>
              <w:t xml:space="preserve">,</w:t>
            </w:r>
            <w:r>
              <w:t xml:space="preserve"> </w:t>
            </w:r>
            <w:r>
              <w:rPr>
                <w:rStyle w:val="VerbatimChar"/>
              </w:rPr>
              <w:t xml:space="preserve">trajectory</w:t>
            </w:r>
          </w:p>
        </w:tc>
        <w:tc>
          <w:tcPr/>
          <w:p>
            <w:pPr>
              <w:pStyle w:val="Compact"/>
              <w:jc w:val="left"/>
            </w:pPr>
            <w:r>
              <w:t xml:space="preserve">Dataset plus confirmed clusters</w:t>
            </w:r>
          </w:p>
        </w:tc>
        <w:tc>
          <w:tcPr/>
          <w:p>
            <w:pPr>
              <w:pStyle w:val="Compact"/>
              <w:jc w:val="left"/>
            </w:pPr>
            <w:r>
              <w:rPr>
                <w:rStyle w:val="VerbatimChar"/>
              </w:rPr>
              <w:t xml:space="preserve">gap_report.csv</w:t>
            </w:r>
            <w:r>
              <w:t xml:space="preserve">: attainment, classification, its basis, relative position; per-subject evidence; trend along the declared subject sequence</w:t>
            </w:r>
          </w:p>
        </w:tc>
        <w:tc>
          <w:tcPr/>
          <w:p>
            <w:pPr>
              <w:pStyle w:val="Compact"/>
              <w:jc w:val="left"/>
            </w:pPr>
            <w:r>
              <w:t xml:space="preserve">Working. Relative to the student’s own profile (median and MAD) with absolute guards; every threshold is configuration and unratified (A-01).</w:t>
            </w:r>
          </w:p>
        </w:tc>
      </w:tr>
      <w:tr>
        <w:tc>
          <w:tcPr/>
          <w:p>
            <w:pPr>
              <w:pStyle w:val="Compact"/>
              <w:jc w:val="left"/>
            </w:pPr>
            <w:r>
              <w:t xml:space="preserve">Generation</w:t>
            </w:r>
          </w:p>
        </w:tc>
        <w:tc>
          <w:tcPr/>
          <w:p>
            <w:pPr>
              <w:pStyle w:val="Compact"/>
              <w:jc w:val="left"/>
            </w:pPr>
            <w:r>
              <w:rPr>
                <w:rStyle w:val="VerbatimChar"/>
              </w:rPr>
              <w:t xml:space="preserve">lja.model.learning_plan</w:t>
            </w:r>
            <w:r>
              <w:t xml:space="preserve">,</w:t>
            </w:r>
            <w:r>
              <w:t xml:space="preserve"> </w:t>
            </w:r>
            <w:r>
              <w:rPr>
                <w:rStyle w:val="VerbatimChar"/>
              </w:rPr>
              <w:t xml:space="preserve">study_strategy</w:t>
            </w:r>
            <w:r>
              <w:t xml:space="preserve">,</w:t>
            </w:r>
            <w:r>
              <w:t xml:space="preserve"> </w:t>
            </w:r>
            <w:r>
              <w:rPr>
                <w:rStyle w:val="VerbatimChar"/>
              </w:rPr>
              <w:t xml:space="preserve">quiz</w:t>
            </w:r>
            <w:r>
              <w:t xml:space="preserve">;</w:t>
            </w:r>
            <w:r>
              <w:t xml:space="preserve"> </w:t>
            </w:r>
            <w:r>
              <w:rPr>
                <w:rStyle w:val="VerbatimChar"/>
              </w:rPr>
              <w:t xml:space="preserve">lja.llm.grounding</w:t>
            </w:r>
          </w:p>
        </w:tc>
        <w:tc>
          <w:tcPr/>
          <w:p>
            <w:pPr>
              <w:pStyle w:val="Compact"/>
              <w:jc w:val="left"/>
            </w:pPr>
            <w:r>
              <w:t xml:space="preserve">This student’s gaps, evidence, SILO wording, own scores and feedback</w:t>
            </w:r>
          </w:p>
        </w:tc>
        <w:tc>
          <w:tcPr/>
          <w:p>
            <w:pPr>
              <w:pStyle w:val="Compact"/>
              <w:jc w:val="left"/>
            </w:pPr>
            <w:r>
              <w:rPr>
                <w:rStyle w:val="VerbatimChar"/>
              </w:rPr>
              <w:t xml:space="preserve">learning_plan_&lt;id&gt;</w:t>
            </w:r>
            <w:r>
              <w:t xml:space="preserve">,</w:t>
            </w:r>
            <w:r>
              <w:t xml:space="preserve"> </w:t>
            </w:r>
            <w:r>
              <w:rPr>
                <w:rStyle w:val="VerbatimChar"/>
              </w:rPr>
              <w:t xml:space="preserve">study_strategy_&lt;id&gt;</w:t>
            </w:r>
            <w:r>
              <w:t xml:space="preserve">,</w:t>
            </w:r>
            <w:r>
              <w:t xml:space="preserve"> </w:t>
            </w:r>
            <w:r>
              <w:rPr>
                <w:rStyle w:val="VerbatimChar"/>
              </w:rPr>
              <w:t xml:space="preserve">quiz_&lt;id&gt;</w:t>
            </w:r>
            <w:r>
              <w:t xml:space="preserve">, JSON and Markdown, written only after grounding passes</w:t>
            </w:r>
          </w:p>
        </w:tc>
        <w:tc>
          <w:tcPr/>
          <w:p>
            <w:pPr>
              <w:pStyle w:val="Compact"/>
              <w:jc w:val="left"/>
            </w:pPr>
            <w:r>
              <w:t xml:space="preserve">Working. Plans and strategies reliable; the quiz is a thin slice whose answer key cannot be verified, and it fails for students with many gaps on the local model (per-competency generation is the follow-up).</w:t>
            </w:r>
          </w:p>
        </w:tc>
      </w:tr>
      <w:tr>
        <w:tc>
          <w:tcPr/>
          <w:p>
            <w:pPr>
              <w:pStyle w:val="Compact"/>
              <w:jc w:val="left"/>
            </w:pPr>
            <w:r>
              <w:t xml:space="preserve">Presentation and export</w:t>
            </w:r>
          </w:p>
        </w:tc>
        <w:tc>
          <w:tcPr/>
          <w:p>
            <w:pPr>
              <w:pStyle w:val="Compact"/>
              <w:jc w:val="left"/>
            </w:pPr>
            <w:r>
              <w:rPr>
                <w:rStyle w:val="VerbatimChar"/>
              </w:rPr>
              <w:t xml:space="preserve">lja.dashboard</w:t>
            </w:r>
            <w:r>
              <w:t xml:space="preserve">,</w:t>
            </w:r>
            <w:r>
              <w:t xml:space="preserve"> </w:t>
            </w:r>
            <w:r>
              <w:rPr>
                <w:rStyle w:val="VerbatimChar"/>
              </w:rPr>
              <w:t xml:space="preserve">lja.export</w:t>
            </w:r>
          </w:p>
        </w:tc>
        <w:tc>
          <w:tcPr/>
          <w:p>
            <w:pPr>
              <w:pStyle w:val="Compact"/>
              <w:jc w:val="left"/>
            </w:pPr>
            <w:r>
              <w:t xml:space="preserve">Dataset, gaps, cache, generated files</w:t>
            </w:r>
          </w:p>
        </w:tc>
        <w:tc>
          <w:tcPr/>
          <w:p>
            <w:pPr>
              <w:pStyle w:val="Compact"/>
              <w:jc w:val="left"/>
            </w:pPr>
            <w:r>
              <w:t xml:space="preserve">Students, cohorts and priority groups; student page with gaps, strengths, progress, subject chain, plan, quiz; outcome quality, competencies, subjects, assessments, clusters; provenance; glossary. Three research CSVs and a manifest, pseudonymised</w:t>
            </w:r>
          </w:p>
        </w:tc>
        <w:tc>
          <w:tcPr/>
          <w:p>
            <w:pPr>
              <w:pStyle w:val="Compact"/>
              <w:jc w:val="left"/>
            </w:pPr>
            <w:r>
              <w:t xml:space="preserve">Working. The dashboard never calls a model on a page load; the opt-in Generate button (PR #55) runs the CLI as a subprocess.</w:t>
            </w:r>
          </w:p>
        </w:tc>
      </w:tr>
    </w:tbl>
    <w:bookmarkEnd w:id="23"/>
    <w:bookmarkStart w:id="27" w:name="what-the-gap-engine-does"/>
    <w:p>
      <w:pPr>
        <w:pStyle w:val="Heading2"/>
      </w:pPr>
      <w:r>
        <w:t xml:space="preserve">What the gap engine does</w:t>
      </w:r>
    </w:p>
    <w:p>
      <w:pPr>
        <w:pStyle w:val="FirstParagraph"/>
      </w:pPr>
      <w:r>
        <w:t xml:space="preserve">The owner’s primary signal is variability within a student’s own profile, not raw failure. For each student and competency the engine computes a weighted attainment, then classifies it in a fixed order: below the absolute floor is a gap; at or above the absolute ceiling is proficient; a profile with too few competencies or too flat a spread falls back to an absolute split and says so; otherwise the position in MAD units below or above the student’s own median decides. A gap evidenced in two or more subjects is persistent, otherwise isolated. Every row carries the rule that decided it, so no displayed figure is unexplained.</w:t>
      </w:r>
    </w:p>
    <w:p>
      <w:pPr>
        <w:pStyle w:val="CaptionedFigure"/>
      </w:pPr>
      <w:r>
        <w:drawing>
          <wp:inline>
            <wp:extent cx="5334000" cy="13098499"/>
            <wp:effectExtent b="0" l="0" r="0" t="0"/>
            <wp:docPr descr="Evidence lineage" title="" id="25" name="Picture"/>
            <a:graphic>
              <a:graphicData uri="http://schemas.openxmlformats.org/drawingml/2006/picture">
                <pic:pic>
                  <pic:nvPicPr>
                    <pic:cNvPr descr="../handover/diagrams/07-evidence-lineage.png" id="26" name="Picture"/>
                    <pic:cNvPicPr>
                      <a:picLocks noChangeArrowheads="1" noChangeAspect="1"/>
                    </pic:cNvPicPr>
                  </pic:nvPicPr>
                  <pic:blipFill>
                    <a:blip r:embed="rId24"/>
                    <a:stretch>
                      <a:fillRect/>
                    </a:stretch>
                  </pic:blipFill>
                  <pic:spPr bwMode="auto">
                    <a:xfrm>
                      <a:off x="0" y="0"/>
                      <a:ext cx="5334000" cy="13098499"/>
                    </a:xfrm>
                    <a:prstGeom prst="rect">
                      <a:avLst/>
                    </a:prstGeom>
                    <a:noFill/>
                    <a:ln w="9525">
                      <a:noFill/>
                      <a:headEnd/>
                      <a:tailEnd/>
                    </a:ln>
                  </pic:spPr>
                </pic:pic>
              </a:graphicData>
            </a:graphic>
          </wp:inline>
        </w:drawing>
      </w:r>
    </w:p>
    <w:p>
      <w:pPr>
        <w:pStyle w:val="ImageCaption"/>
      </w:pPr>
      <w:r>
        <w:t xml:space="preserve">Evidence lineage</w:t>
      </w:r>
    </w:p>
    <w:p>
      <w:pPr>
        <w:pStyle w:val="BodyText"/>
      </w:pPr>
      <w:r>
        <w:rPr>
          <w:iCs/>
          <w:i/>
        </w:rPr>
        <w:t xml:space="preserve">Figure 2: What each stage leaves behind and the check between stages, so any statement a student reads can be followed back to marked work. Source:</w:t>
      </w:r>
      <w:r>
        <w:rPr>
          <w:iCs/>
          <w:i/>
        </w:rPr>
        <w:t xml:space="preserve"> </w:t>
      </w:r>
      <w:r>
        <w:rPr>
          <w:rStyle w:val="VerbatimChar"/>
          <w:iCs/>
          <w:i/>
        </w:rPr>
        <w:t xml:space="preserve">docs/handover/diagrams/07-evidence-lineage.mmd</w:t>
      </w:r>
      <w:r>
        <w:rPr>
          <w:iCs/>
          <w:i/>
        </w:rPr>
        <w:t xml:space="preserve">.</w:t>
      </w:r>
    </w:p>
    <w:bookmarkEnd w:id="27"/>
    <w:bookmarkStart w:id="28" w:name="where-the-moodle-score-comes-from"/>
    <w:p>
      <w:pPr>
        <w:pStyle w:val="Heading2"/>
      </w:pPr>
      <w:r>
        <w:t xml:space="preserve">Where the Moodle score comes from</w:t>
      </w:r>
    </w:p>
    <w:p>
      <w:pPr>
        <w:pStyle w:val="FirstParagraph"/>
      </w:pPr>
      <w:r>
        <w:t xml:space="preserve">Only the direct-SQL path can reach a rubric</w:t>
      </w:r>
      <w:r>
        <w:t xml:space="preserve"> </w:t>
      </w:r>
      <w:r>
        <w:rPr>
          <w:iCs/>
          <w:i/>
        </w:rPr>
        <w:t xml:space="preserve">filling</w:t>
      </w:r>
      <w:r>
        <w:t xml:space="preserve">, the level a marker chose and their remark. Moodle’s Web Services expose a rubric’s definition but no function returns what was awarded. So the production path connects to PostgreSQL as the</w:t>
      </w:r>
      <w:r>
        <w:t xml:space="preserve"> </w:t>
      </w:r>
      <w:r>
        <w:rPr>
          <w:rStyle w:val="VerbatimChar"/>
        </w:rPr>
        <w:t xml:space="preserve">lja_reader</w:t>
      </w:r>
      <w:r>
        <w:t xml:space="preserve"> </w:t>
      </w:r>
      <w:r>
        <w:t xml:space="preserve">role, which can only</w:t>
      </w:r>
      <w:r>
        <w:t xml:space="preserve"> </w:t>
      </w:r>
      <w:r>
        <w:rPr>
          <w:rStyle w:val="VerbatimChar"/>
        </w:rPr>
        <w:t xml:space="preserve">SELECT</w:t>
      </w:r>
      <w:r>
        <w:t xml:space="preserve">, and runs Query 2 in</w:t>
      </w:r>
      <w:r>
        <w:t xml:space="preserve"> </w:t>
      </w:r>
      <w:r>
        <w:rPr>
          <w:rStyle w:val="VerbatimChar"/>
        </w:rPr>
        <w:t xml:space="preserve">sql/moodle_attainment_extraction.sql</w:t>
      </w:r>
      <w:r>
        <w:t xml:space="preserve">. The loader joins those rows to a staff-editable</w:t>
      </w:r>
      <w:r>
        <w:t xml:space="preserve"> </w:t>
      </w:r>
      <w:r>
        <w:rPr>
          <w:rStyle w:val="VerbatimChar"/>
        </w:rPr>
        <w:t xml:space="preserve">criterion_silo_map_&lt;SUBJECT&gt;.csv</w:t>
      </w:r>
      <w:r>
        <w:t xml:space="preserve">; an unmapped criterion is a hard error, not a silent drop.</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Moodle field</w:t>
            </w:r>
          </w:p>
        </w:tc>
        <w:tc>
          <w:tcPr/>
          <w:p>
            <w:pPr>
              <w:pStyle w:val="Compact"/>
              <w:jc w:val="left"/>
            </w:pPr>
            <w:r>
              <w:t xml:space="preserve">What it holds</w:t>
            </w:r>
          </w:p>
        </w:tc>
        <w:tc>
          <w:tcPr/>
          <w:p>
            <w:pPr>
              <w:pStyle w:val="Compact"/>
              <w:jc w:val="left"/>
            </w:pPr>
            <w:r>
              <w:t xml:space="preserve">Becomes</w:t>
            </w:r>
          </w:p>
        </w:tc>
      </w:tr>
      <w:tr>
        <w:tc>
          <w:tcPr/>
          <w:p>
            <w:pPr>
              <w:pStyle w:val="Compact"/>
              <w:jc w:val="left"/>
            </w:pPr>
            <w:r>
              <w:rPr>
                <w:rStyle w:val="VerbatimChar"/>
              </w:rPr>
              <w:t xml:space="preserve">gradingform_rubric_fillings.remark</w:t>
            </w:r>
          </w:p>
        </w:tc>
        <w:tc>
          <w:tcPr/>
          <w:p>
            <w:pPr>
              <w:pStyle w:val="Compact"/>
              <w:jc w:val="left"/>
            </w:pPr>
            <w:r>
              <w:t xml:space="preserve">Marker’s comment on this one criterion</w:t>
            </w:r>
          </w:p>
        </w:tc>
        <w:tc>
          <w:tcPr/>
          <w:p>
            <w:pPr>
              <w:pStyle w:val="Compact"/>
              <w:jc w:val="left"/>
            </w:pPr>
            <w:r>
              <w:rPr>
                <w:rStyle w:val="VerbatimChar"/>
              </w:rPr>
              <w:t xml:space="preserve">feedback_comment</w:t>
            </w:r>
          </w:p>
        </w:tc>
      </w:tr>
      <w:tr>
        <w:tc>
          <w:tcPr/>
          <w:p>
            <w:pPr>
              <w:pStyle w:val="Compact"/>
              <w:jc w:val="left"/>
            </w:pPr>
            <w:r>
              <w:rPr>
                <w:rStyle w:val="VerbatimChar"/>
              </w:rPr>
              <w:t xml:space="preserve">grading_instances.status</w:t>
            </w:r>
          </w:p>
        </w:tc>
        <w:tc>
          <w:tcPr/>
          <w:p>
            <w:pPr>
              <w:pStyle w:val="Compact"/>
              <w:jc w:val="left"/>
            </w:pPr>
            <w:r>
              <w:t xml:space="preserve">Must equal 1 (active); 0, 2, 3 are stale, draft or superseded</w:t>
            </w:r>
          </w:p>
        </w:tc>
        <w:tc>
          <w:tcPr/>
          <w:p>
            <w:pPr>
              <w:pStyle w:val="Compact"/>
              <w:jc w:val="left"/>
            </w:pPr>
            <w:r>
              <w:t xml:space="preserve">filter only</w:t>
            </w:r>
          </w:p>
        </w:tc>
      </w:tr>
      <w:tr>
        <w:tc>
          <w:tcPr/>
          <w:p>
            <w:pPr>
              <w:pStyle w:val="Compact"/>
              <w:jc w:val="left"/>
            </w:pPr>
            <w:r>
              <w:rPr>
                <w:rStyle w:val="VerbatimChar"/>
              </w:rPr>
              <w:t xml:space="preserve">grading_instances.itemid</w:t>
            </w:r>
          </w:p>
        </w:tc>
        <w:tc>
          <w:tcPr/>
          <w:p>
            <w:pPr>
              <w:pStyle w:val="Compact"/>
              <w:jc w:val="left"/>
            </w:pPr>
            <w:r>
              <w:t xml:space="preserve">Not a user id: joins to</w:t>
            </w:r>
            <w:r>
              <w:t xml:space="preserve"> </w:t>
            </w:r>
            <w:r>
              <w:rPr>
                <w:rStyle w:val="VerbatimChar"/>
              </w:rPr>
              <w:t xml:space="preserve">assign_grades.id</w:t>
            </w:r>
            <w:r>
              <w:t xml:space="preserve">, the common wrong join in this schema</w:t>
            </w:r>
          </w:p>
        </w:tc>
        <w:tc>
          <w:tcPr/>
          <w:p>
            <w:pPr>
              <w:pStyle w:val="Compact"/>
              <w:jc w:val="left"/>
            </w:pPr>
            <w:r>
              <w:t xml:space="preserve">join key</w:t>
            </w:r>
          </w:p>
        </w:tc>
      </w:tr>
      <w:tr>
        <w:tc>
          <w:tcPr/>
          <w:p>
            <w:pPr>
              <w:pStyle w:val="Compact"/>
              <w:jc w:val="left"/>
            </w:pPr>
            <w:r>
              <w:rPr>
                <w:rStyle w:val="VerbatimChar"/>
              </w:rPr>
              <w:t xml:space="preserve">gradingform_rubric_criteria.description</w:t>
            </w:r>
          </w:p>
        </w:tc>
        <w:tc>
          <w:tcPr/>
          <w:p>
            <w:pPr>
              <w:pStyle w:val="Compact"/>
              <w:jc w:val="left"/>
            </w:pPr>
            <w:r>
              <w:t xml:space="preserve">The criterion’s own text</w:t>
            </w:r>
          </w:p>
        </w:tc>
        <w:tc>
          <w:tcPr/>
          <w:p>
            <w:pPr>
              <w:pStyle w:val="Compact"/>
              <w:jc w:val="left"/>
            </w:pPr>
            <w:r>
              <w:t xml:space="preserve">mapped to a SILO key via the CSV</w:t>
            </w:r>
          </w:p>
        </w:tc>
      </w:tr>
      <w:tr>
        <w:tc>
          <w:tcPr/>
          <w:p>
            <w:pPr>
              <w:pStyle w:val="Compact"/>
              <w:jc w:val="left"/>
            </w:pPr>
            <w:r>
              <w:rPr>
                <w:rStyle w:val="VerbatimChar"/>
              </w:rPr>
              <w:t xml:space="preserve">gradingform_rubric_levels.score</w:t>
            </w:r>
            <w:r>
              <w:t xml:space="preserve"> </w:t>
            </w:r>
            <w:r>
              <w:t xml:space="preserve">and the criterion’s maximum</w:t>
            </w:r>
          </w:p>
        </w:tc>
        <w:tc>
          <w:tcPr/>
          <w:p>
            <w:pPr>
              <w:pStyle w:val="Compact"/>
              <w:jc w:val="left"/>
            </w:pPr>
            <w:r>
              <w:t xml:space="preserve">Points awarded, and the ceiling</w:t>
            </w:r>
          </w:p>
        </w:tc>
        <w:tc>
          <w:tcPr/>
          <w:p>
            <w:pPr>
              <w:pStyle w:val="Compact"/>
              <w:jc w:val="left"/>
            </w:pPr>
            <w:r>
              <w:rPr>
                <w:rStyle w:val="VerbatimChar"/>
              </w:rPr>
              <w:t xml:space="preserve">score</w:t>
            </w:r>
            <w:r>
              <w:t xml:space="preserve">, normalised to a percentage</w:t>
            </w:r>
          </w:p>
        </w:tc>
      </w:tr>
      <w:tr>
        <w:tc>
          <w:tcPr/>
          <w:p>
            <w:pPr>
              <w:pStyle w:val="Compact"/>
              <w:jc w:val="left"/>
            </w:pPr>
            <w:r>
              <w:rPr>
                <w:rStyle w:val="VerbatimChar"/>
              </w:rPr>
              <w:t xml:space="preserve">assign.name</w:t>
            </w:r>
            <w:r>
              <w:t xml:space="preserve">,</w:t>
            </w:r>
            <w:r>
              <w:t xml:space="preserve"> </w:t>
            </w:r>
            <w:r>
              <w:rPr>
                <w:rStyle w:val="VerbatimChar"/>
              </w:rPr>
              <w:t xml:space="preserve">course.shortname</w:t>
            </w:r>
            <w:r>
              <w:t xml:space="preserve">,</w:t>
            </w:r>
            <w:r>
              <w:t xml:space="preserve"> </w:t>
            </w:r>
            <w:r>
              <w:rPr>
                <w:rStyle w:val="VerbatimChar"/>
              </w:rPr>
              <w:t xml:space="preserve">user.idnumber</w:t>
            </w:r>
          </w:p>
        </w:tc>
        <w:tc>
          <w:tcPr/>
          <w:p>
            <w:pPr>
              <w:pStyle w:val="Compact"/>
              <w:jc w:val="left"/>
            </w:pPr>
            <w:r>
              <w:t xml:space="preserve">Assessment, subject, student</w:t>
            </w:r>
          </w:p>
        </w:tc>
        <w:tc>
          <w:tcPr/>
          <w:p>
            <w:pPr>
              <w:pStyle w:val="Compact"/>
              <w:jc w:val="left"/>
            </w:pPr>
            <w:r>
              <w:rPr>
                <w:rStyle w:val="VerbatimChar"/>
              </w:rPr>
              <w:t xml:space="preserve">assessment_name</w:t>
            </w:r>
            <w:r>
              <w:t xml:space="preserve">,</w:t>
            </w:r>
            <w:r>
              <w:t xml:space="preserve"> </w:t>
            </w:r>
            <w:r>
              <w:rPr>
                <w:rStyle w:val="VerbatimChar"/>
              </w:rPr>
              <w:t xml:space="preserve">subject_code</w:t>
            </w:r>
            <w:r>
              <w:t xml:space="preserve">,</w:t>
            </w:r>
            <w:r>
              <w:t xml:space="preserve"> </w:t>
            </w:r>
            <w:r>
              <w:rPr>
                <w:rStyle w:val="VerbatimChar"/>
              </w:rPr>
              <w:t xml:space="preserve">student_id</w:t>
            </w:r>
          </w:p>
        </w:tc>
      </w:tr>
    </w:tbl>
    <w:p>
      <w:pPr>
        <w:pStyle w:val="BodyText"/>
      </w:pPr>
      <w:r>
        <w:t xml:space="preserve">The 11 August design had a staging table named</w:t>
      </w:r>
      <w:r>
        <w:t xml:space="preserve"> </w:t>
      </w:r>
      <w:r>
        <w:rPr>
          <w:rStyle w:val="VerbatimChar"/>
        </w:rPr>
        <w:t xml:space="preserve">lja_criterion_score</w:t>
      </w:r>
      <w:r>
        <w:t xml:space="preserve"> </w:t>
      </w:r>
      <w:r>
        <w:t xml:space="preserve">and a</w:t>
      </w:r>
      <w:r>
        <w:t xml:space="preserve"> </w:t>
      </w:r>
      <w:r>
        <w:rPr>
          <w:rStyle w:val="VerbatimChar"/>
        </w:rPr>
        <w:t xml:space="preserve">confirmed_by_staff</w:t>
      </w:r>
      <w:r>
        <w:t xml:space="preserve"> </w:t>
      </w:r>
      <w:r>
        <w:t xml:space="preserve">gate on the criterion map. Neither was built that way. The in-memory</w:t>
      </w:r>
      <w:r>
        <w:t xml:space="preserve"> </w:t>
      </w:r>
      <w:r>
        <w:rPr>
          <w:rStyle w:val="VerbatimChar"/>
        </w:rPr>
        <w:t xml:space="preserve">LjaDataset</w:t>
      </w:r>
      <w:r>
        <w:t xml:space="preserve"> </w:t>
      </w:r>
      <w:r>
        <w:t xml:space="preserve">is the staging table, and the staff gate moved one stage later, onto the LLM’s clustering, which is where the uncertainty actually is.</w:t>
      </w:r>
    </w:p>
    <w:p>
      <w:pPr>
        <w:pStyle w:val="BodyText"/>
      </w:pPr>
      <w:r>
        <w:t xml:space="preserve">What was observed on 28 September 2026 (IOLG-111,</w:t>
      </w:r>
      <w:r>
        <w:t xml:space="preserve"> </w:t>
      </w:r>
      <w:r>
        <w:rPr>
          <w:rStyle w:val="VerbatimChar"/>
        </w:rPr>
        <w:t xml:space="preserve">docs/security-evidence.md</w:t>
      </w:r>
      <w:r>
        <w:t xml:space="preserve">): the role created from the DDL in</w:t>
      </w:r>
      <w:r>
        <w:t xml:space="preserve"> </w:t>
      </w:r>
      <w:r>
        <w:rPr>
          <w:rStyle w:val="VerbatimChar"/>
        </w:rPr>
        <w:t xml:space="preserve">sql/README.md</w:t>
      </w:r>
      <w:r>
        <w:t xml:space="preserve">;</w:t>
      </w:r>
      <w:r>
        <w:t xml:space="preserve"> </w:t>
      </w:r>
      <w:r>
        <w:rPr>
          <w:rStyle w:val="VerbatimChar"/>
        </w:rPr>
        <w:t xml:space="preserve">UPDATE m_user</w:t>
      </w:r>
      <w:r>
        <w:t xml:space="preserve"> </w:t>
      </w:r>
      <w:r>
        <w:t xml:space="preserve">as</w:t>
      </w:r>
      <w:r>
        <w:t xml:space="preserve"> </w:t>
      </w:r>
      <w:r>
        <w:rPr>
          <w:rStyle w:val="VerbatimChar"/>
        </w:rPr>
        <w:t xml:space="preserve">lja_reader</w:t>
      </w:r>
      <w:r>
        <w:t xml:space="preserve"> </w:t>
      </w:r>
      <w:r>
        <w:t xml:space="preserve">refused with</w:t>
      </w:r>
      <w:r>
        <w:t xml:space="preserve"> </w:t>
      </w:r>
      <w:r>
        <w:rPr>
          <w:rStyle w:val="VerbatimChar"/>
        </w:rPr>
        <w:t xml:space="preserve">permission denied</w:t>
      </w:r>
      <w:r>
        <w:t xml:space="preserve">; a data-only dump byte-identical before and after a pipeline run.</w:t>
      </w:r>
    </w:p>
    <w:bookmarkEnd w:id="28"/>
    <w:bookmarkStart w:id="32" w:name="trust-boundaries"/>
    <w:p>
      <w:pPr>
        <w:pStyle w:val="Heading2"/>
      </w:pPr>
      <w:r>
        <w:t xml:space="preserve">Trust boundaries</w:t>
      </w:r>
    </w:p>
    <w:p>
      <w:pPr>
        <w:pStyle w:val="CaptionedFigure"/>
      </w:pPr>
      <w:r>
        <w:drawing>
          <wp:inline>
            <wp:extent cx="5334000" cy="2343996"/>
            <wp:effectExtent b="0" l="0" r="0" t="0"/>
            <wp:docPr descr="Trust boundaries" title="" id="30" name="Picture"/>
            <a:graphic>
              <a:graphicData uri="http://schemas.openxmlformats.org/drawingml/2006/picture">
                <pic:pic>
                  <pic:nvPicPr>
                    <pic:cNvPr descr="../handover/diagrams/06-trust-boundaries.png" id="31" name="Picture"/>
                    <pic:cNvPicPr>
                      <a:picLocks noChangeArrowheads="1" noChangeAspect="1"/>
                    </pic:cNvPicPr>
                  </pic:nvPicPr>
                  <pic:blipFill>
                    <a:blip r:embed="rId29"/>
                    <a:stretch>
                      <a:fillRect/>
                    </a:stretch>
                  </pic:blipFill>
                  <pic:spPr bwMode="auto">
                    <a:xfrm>
                      <a:off x="0" y="0"/>
                      <a:ext cx="5334000" cy="2343996"/>
                    </a:xfrm>
                    <a:prstGeom prst="rect">
                      <a:avLst/>
                    </a:prstGeom>
                    <a:noFill/>
                    <a:ln w="9525">
                      <a:noFill/>
                      <a:headEnd/>
                      <a:tailEnd/>
                    </a:ln>
                  </pic:spPr>
                </pic:pic>
              </a:graphicData>
            </a:graphic>
          </wp:inline>
        </w:drawing>
      </w:r>
    </w:p>
    <w:p>
      <w:pPr>
        <w:pStyle w:val="ImageCaption"/>
      </w:pPr>
      <w:r>
        <w:t xml:space="preserve">Trust boundaries</w:t>
      </w:r>
    </w:p>
    <w:p>
      <w:pPr>
        <w:pStyle w:val="BodyText"/>
      </w:pPr>
      <w:r>
        <w:rPr>
          <w:iCs/>
          <w:i/>
        </w:rPr>
        <w:t xml:space="preserve">Figure 3: What crosses each boundary. Prompts carry SILO text, gap context and the student’s own marker feedback, never names beyond</w:t>
      </w:r>
      <w:r>
        <w:rPr>
          <w:iCs/>
          <w:i/>
        </w:rPr>
        <w:t xml:space="preserve"> </w:t>
      </w:r>
      <w:r>
        <w:rPr>
          <w:rStyle w:val="VerbatimChar"/>
          <w:iCs/>
          <w:i/>
        </w:rPr>
        <w:t xml:space="preserve">STU0001</w:t>
      </w:r>
      <w:r>
        <w:rPr>
          <w:iCs/>
          <w:i/>
        </w:rPr>
        <w:t xml:space="preserve">-style ids. Source:</w:t>
      </w:r>
      <w:r>
        <w:rPr>
          <w:iCs/>
          <w:i/>
        </w:rPr>
        <w:t xml:space="preserve"> </w:t>
      </w:r>
      <w:r>
        <w:rPr>
          <w:rStyle w:val="VerbatimChar"/>
          <w:iCs/>
          <w:i/>
        </w:rPr>
        <w:t xml:space="preserve">docs/handover/diagrams/06-trust-boundaries.mmd</w:t>
      </w:r>
      <w:r>
        <w:rPr>
          <w:iCs/>
          <w:i/>
        </w:rPr>
        <w:t xml:space="preserve">.</w:t>
      </w:r>
    </w:p>
    <w:bookmarkEnd w:id="32"/>
    <w:bookmarkStart w:id="33" w:name="what-changed-since-the-august-page"/>
    <w:p>
      <w:pPr>
        <w:pStyle w:val="Heading2"/>
      </w:pPr>
      <w:r>
        <w:t xml:space="preserve">What changed since the August page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August 2026 said</w:t>
            </w:r>
          </w:p>
        </w:tc>
        <w:tc>
          <w:tcPr/>
          <w:p>
            <w:pPr>
              <w:pStyle w:val="Compact"/>
              <w:jc w:val="left"/>
            </w:pPr>
            <w:r>
              <w:t xml:space="preserve">October 2026</w:t>
            </w:r>
          </w:p>
        </w:tc>
      </w:tr>
      <w:tr>
        <w:tc>
          <w:tcPr/>
          <w:p>
            <w:pPr>
              <w:pStyle w:val="Compact"/>
              <w:jc w:val="left"/>
            </w:pPr>
            <w:r>
              <w:t xml:space="preserve">Extraction</w:t>
            </w:r>
            <w:r>
              <w:t xml:space="preserve"> </w:t>
            </w:r>
            <w:r>
              <w:t xml:space="preserve">“</w:t>
            </w:r>
            <w:r>
              <w:t xml:space="preserve">partial, loader not coded</w:t>
            </w:r>
            <w:r>
              <w:t xml:space="preserve">”</w:t>
            </w:r>
            <w:r>
              <w:t xml:space="preserve">; mapping</w:t>
            </w:r>
            <w:r>
              <w:t xml:space="preserve"> </w:t>
            </w:r>
            <w:r>
              <w:t xml:space="preserve">“</w:t>
            </w:r>
            <w:r>
              <w:t xml:space="preserve">schema only</w:t>
            </w:r>
            <w:r>
              <w:t xml:space="preserve">”</w:t>
            </w:r>
          </w:p>
        </w:tc>
        <w:tc>
          <w:tcPr/>
          <w:p>
            <w:pPr>
              <w:pStyle w:val="Compact"/>
              <w:jc w:val="left"/>
            </w:pPr>
            <w:r>
              <w:t xml:space="preserve">Both loaders working; the criterion map is a CSV, not a table</w:t>
            </w:r>
          </w:p>
        </w:tc>
      </w:tr>
      <w:tr>
        <w:tc>
          <w:tcPr/>
          <w:p>
            <w:pPr>
              <w:pStyle w:val="Compact"/>
              <w:jc w:val="left"/>
            </w:pPr>
            <w:r>
              <w:t xml:space="preserve">Gap detection</w:t>
            </w:r>
            <w:r>
              <w:t xml:space="preserve"> </w:t>
            </w:r>
            <w:r>
              <w:t xml:space="preserve">“</w:t>
            </w:r>
            <w:r>
              <w:t xml:space="preserve">SQL drafted, not yet Python</w:t>
            </w:r>
            <w:r>
              <w:t xml:space="preserve">”</w:t>
            </w:r>
            <w:r>
              <w:t xml:space="preserve">, two fixed thresholds 50/65</w:t>
            </w:r>
          </w:p>
        </w:tc>
        <w:tc>
          <w:tcPr/>
          <w:p>
            <w:pPr>
              <w:pStyle w:val="Compact"/>
              <w:jc w:val="left"/>
            </w:pPr>
            <w:r>
              <w:t xml:space="preserve">Python, relative to the student’s profile with seven configurable thresholds; SQL Query 6 kept as an annotated legacy</w:t>
            </w:r>
          </w:p>
        </w:tc>
      </w:tr>
      <w:tr>
        <w:tc>
          <w:tcPr/>
          <w:p>
            <w:pPr>
              <w:pStyle w:val="Compact"/>
              <w:jc w:val="left"/>
            </w:pPr>
            <w:r>
              <w:t xml:space="preserve">LLM layer</w:t>
            </w:r>
            <w:r>
              <w:t xml:space="preserve"> </w:t>
            </w:r>
            <w:r>
              <w:t xml:space="preserve">“</w:t>
            </w:r>
            <w:r>
              <w:t xml:space="preserve">planned</w:t>
            </w:r>
            <w:r>
              <w:t xml:space="preserve">”</w:t>
            </w:r>
          </w:p>
        </w:tc>
        <w:tc>
          <w:tcPr/>
          <w:p>
            <w:pPr>
              <w:pStyle w:val="Compact"/>
              <w:jc w:val="left"/>
            </w:pPr>
            <w:r>
              <w:t xml:space="preserve">Two providers behind one protocol; clustering, plans, strategies and quizzes all grounded by code</w:t>
            </w:r>
          </w:p>
        </w:tc>
      </w:tr>
      <w:tr>
        <w:tc>
          <w:tcPr/>
          <w:p>
            <w:pPr>
              <w:pStyle w:val="Compact"/>
              <w:jc w:val="left"/>
            </w:pPr>
            <w:r>
              <w:t xml:space="preserve">Dashboard</w:t>
            </w:r>
            <w:r>
              <w:t xml:space="preserve"> </w:t>
            </w:r>
            <w:r>
              <w:t xml:space="preserve">“</w:t>
            </w:r>
            <w:r>
              <w:t xml:space="preserve">planned</w:t>
            </w:r>
            <w:r>
              <w:t xml:space="preserve">”</w:t>
            </w:r>
            <w:r>
              <w:t xml:space="preserve">, four views</w:t>
            </w:r>
          </w:p>
        </w:tc>
        <w:tc>
          <w:tcPr/>
          <w:p>
            <w:pPr>
              <w:pStyle w:val="Compact"/>
              <w:jc w:val="left"/>
            </w:pPr>
            <w:r>
              <w:t xml:space="preserve">Fourteen pages, every count a link, provenance and glossary; opt-in generation</w:t>
            </w:r>
          </w:p>
        </w:tc>
      </w:tr>
      <w:tr>
        <w:tc>
          <w:tcPr/>
          <w:p>
            <w:pPr>
              <w:pStyle w:val="Compact"/>
              <w:jc w:val="left"/>
            </w:pPr>
            <w:r>
              <w:t xml:space="preserve">No research export, no synthetic data, no handbook</w:t>
            </w:r>
          </w:p>
        </w:tc>
        <w:tc>
          <w:tcPr/>
          <w:p>
            <w:pPr>
              <w:pStyle w:val="Compact"/>
              <w:jc w:val="left"/>
            </w:pPr>
            <w:r>
              <w:rPr>
                <w:rStyle w:val="VerbatimChar"/>
              </w:rPr>
              <w:t xml:space="preserve">lja.export</w:t>
            </w:r>
            <w:r>
              <w:t xml:space="preserve"> </w:t>
            </w:r>
            <w:r>
              <w:t xml:space="preserve">with pseudonyms; catalogue generator with planted gaps and an answer key; handbook crawl with an embedding tagger</w:t>
            </w:r>
          </w:p>
        </w:tc>
      </w:tr>
      <w:tr>
        <w:tc>
          <w:tcPr/>
          <w:p>
            <w:pPr>
              <w:pStyle w:val="Compact"/>
              <w:jc w:val="left"/>
            </w:pPr>
            <w:r>
              <w:t xml:space="preserve">Staff review gate on the criterion map</w:t>
            </w:r>
          </w:p>
        </w:tc>
        <w:tc>
          <w:tcPr/>
          <w:p>
            <w:pPr>
              <w:pStyle w:val="Compact"/>
              <w:jc w:val="left"/>
            </w:pPr>
            <w:r>
              <w:t xml:space="preserve">Gate on the clustering, with a dashboard banner and a CLI stop</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2026-10-02T15:35:33Z</dcterms:created>
  <dcterms:modified xsi:type="dcterms:W3CDTF">2026-10-02T15:35:33Z</dcterms:modified>
</cp:coreProperties>
</file>

<file path=docProps/custom.xml><?xml version="1.0" encoding="utf-8"?>
<Properties xmlns="http://schemas.openxmlformats.org/officeDocument/2006/custom-properties" xmlns:vt="http://schemas.openxmlformats.org/officeDocument/2006/docPropsVTypes"/>
</file>