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4.png" ContentType="image/png"/>
  <Override PartName="/word/media/rId45.png" ContentType="image/png"/>
  <Override PartName="/word/media/rId6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1"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0.7 — for team review (0.6, the generate button, is in open PR #55).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Built on the IOLG-106 branch (§3.11)</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64"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2835910"/>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2835910"/>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redrawn on 3 October 2026. Three generated-artefact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w:t>
      </w:r>
      <w:r>
        <w:t xml:space="preserve"> </w:t>
      </w:r>
      <w:r>
        <w:rPr>
          <w:rStyle w:val="VerbatimChar"/>
        </w:rPr>
        <w:t xml:space="preserve">lja.export</w:t>
      </w:r>
      <w:r>
        <w:t xml:space="preserve"> </w:t>
      </w:r>
      <w:r>
        <w:t xml:space="preserve">reads the same and never calls a model. The dashboard renders plans and quizzes from the JSON those commands wrote and never calls a model on a page load; its opt-in Generate button runs the same commands as a subprocess (D20, PR #55).</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built, redrawn on 3 October 2026. The one dashed use case is the planned follow-up: filtering</w:t>
      </w:r>
      <w:r>
        <w:t xml:space="preserve"> </w:t>
      </w:r>
      <w:r>
        <w:t xml:space="preserve">“</w:t>
      </w:r>
      <w:r>
        <w:t xml:space="preserve">ahead</w:t>
      </w:r>
      <w:r>
        <w:t xml:space="preserve">”</w:t>
      </w:r>
      <w:r>
        <w:t xml:space="preserve"> </w:t>
      </w:r>
      <w:r>
        <w:t xml:space="preserve">by a course map, a Moodle-sourced dashboard, and sign-in.</w:t>
      </w:r>
    </w:p>
    <w:p>
      <w:pPr>
        <w:pStyle w:val="CaptionedFigure"/>
      </w:pPr>
      <w:r>
        <w:drawing>
          <wp:inline>
            <wp:extent cx="5334000" cy="3893820"/>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3893820"/>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18883"/>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18883"/>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redrawn on 3 October 2026 to include the trajectory, outcome-quality, strategy and quiz types, the grounding report and the dashboard’s generator and run record. Source:</w:t>
      </w:r>
      <w:r>
        <w:rPr>
          <w:iCs/>
          <w:i/>
        </w:rPr>
        <w:t xml:space="preserve"> </w:t>
      </w:r>
      <w:r>
        <w:rPr>
          <w:rStyle w:val="VerbatimChar"/>
          <w:iCs/>
          <w:i/>
        </w:rPr>
        <w:t xml:space="preserve">docs/handover/diagrams/03-classes.mmd</w:t>
      </w:r>
      <w:r>
        <w:rPr>
          <w:iCs/>
          <w:i/>
        </w:rPr>
        <w:t xml:space="preserve">.</w:t>
      </w:r>
    </w:p>
    <w:bookmarkEnd w:id="38"/>
    <w:bookmarkStart w:id="51"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489200"/>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1828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1828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13098499"/>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13098499"/>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redrawn on 3 October 2026 to cover the three generated artefacts, the trajectory and the export. Source:</w:t>
      </w:r>
      <w:r>
        <w:rPr>
          <w:iCs/>
          <w:i/>
        </w:rPr>
        <w:t xml:space="preserve"> </w:t>
      </w:r>
      <w:r>
        <w:rPr>
          <w:rStyle w:val="VerbatimChar"/>
          <w:iCs/>
          <w:i/>
        </w:rPr>
        <w:t xml:space="preserve">docs/handover/diagrams/07-evidence-lineage.mmd</w:t>
      </w:r>
      <w:r>
        <w:rPr>
          <w:iCs/>
          <w:i/>
        </w:rPr>
        <w:t xml:space="preserve">.</w:t>
      </w:r>
    </w:p>
    <w:p>
      <w:pPr>
        <w:pStyle w:val="BodyText"/>
      </w:pPr>
      <w:r>
        <w:rPr>
          <w:bCs/>
          <w:b/>
        </w:rPr>
        <w:t xml:space="preserve">Generating from the dashboard (D20).</w:t>
      </w:r>
      <w:r>
        <w:t xml:space="preserve"> </w:t>
      </w:r>
      <w:r>
        <w:t xml:space="preserve">Figure 5d shows the one path by which the dashboard causes a model call: an explicit button, a subprocess of the same command, and a reload from the file.</w:t>
      </w:r>
    </w:p>
    <w:p>
      <w:pPr>
        <w:pStyle w:val="CaptionedFigure"/>
      </w:pPr>
      <w:r>
        <w:drawing>
          <wp:inline>
            <wp:extent cx="5334000" cy="3185583"/>
            <wp:effectExtent b="0" l="0" r="0" t="0"/>
            <wp:docPr descr="Sequence diagram: generating a plan or quiz from the student page" title="" id="49" name="Picture"/>
            <a:graphic>
              <a:graphicData uri="http://schemas.openxmlformats.org/drawingml/2006/picture">
                <pic:pic>
                  <pic:nvPicPr>
                    <pic:cNvPr descr="diagrams/16-seq-generate-from-dashboa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Sequence diagram: generating a plan or quiz from the student page</w:t>
      </w:r>
    </w:p>
    <w:p>
      <w:pPr>
        <w:pStyle w:val="BodyText"/>
      </w:pPr>
      <w:r>
        <w:rPr>
          <w:iCs/>
          <w:i/>
        </w:rPr>
        <w:t xml:space="preserve">Figure 5d: Generating from the student page (PR #55). Source:</w:t>
      </w:r>
      <w:r>
        <w:rPr>
          <w:iCs/>
          <w:i/>
        </w:rPr>
        <w:t xml:space="preserve"> </w:t>
      </w:r>
      <w:r>
        <w:rPr>
          <w:rStyle w:val="VerbatimChar"/>
          <w:iCs/>
          <w:i/>
        </w:rPr>
        <w:t xml:space="preserve">docs/handover/diagrams/16-seq-generate-from-dashboard.mmd</w:t>
      </w:r>
      <w:r>
        <w:rPr>
          <w:iCs/>
          <w:i/>
        </w:rPr>
        <w:t xml:space="preserve">.</w:t>
      </w:r>
    </w:p>
    <w:bookmarkEnd w:id="51"/>
    <w:bookmarkStart w:id="52"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52"/>
    <w:bookmarkStart w:id="53"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3"/>
    <w:bookmarkStart w:id="57"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343996"/>
            <wp:effectExtent b="0" l="0" r="0" t="0"/>
            <wp:docPr descr="Trust boundaries: workstation, local network, internet" title="" id="55" name="Picture"/>
            <a:graphic>
              <a:graphicData uri="http://schemas.openxmlformats.org/drawingml/2006/picture">
                <pic:pic>
                  <pic:nvPicPr>
                    <pic:cNvPr descr="diagrams/06-trust-boundaries.png" id="56" name="Picture"/>
                    <pic:cNvPicPr>
                      <a:picLocks noChangeArrowheads="1" noChangeAspect="1"/>
                    </pic:cNvPicPr>
                  </pic:nvPicPr>
                  <pic:blipFill>
                    <a:blip r:embed="rId54"/>
                    <a:stretch>
                      <a:fillRect/>
                    </a:stretch>
                  </pic:blipFill>
                  <pic:spPr bwMode="auto">
                    <a:xfrm>
                      <a:off x="0" y="0"/>
                      <a:ext cx="5334000" cy="2343996"/>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7"/>
    <w:bookmarkStart w:id="58"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8"/>
    <w:bookmarkStart w:id="59"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9"/>
    <w:bookmarkStart w:id="63"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CaptionedFigure"/>
      </w:pPr>
      <w:r>
        <w:drawing>
          <wp:inline>
            <wp:extent cx="5334000" cy="2607733"/>
            <wp:effectExtent b="0" l="0" r="0" t="0"/>
            <wp:docPr descr="A trajectory: STU0834 in Expressing mathematical arguments" title="" id="61" name="Picture"/>
            <a:graphic>
              <a:graphicData uri="http://schemas.openxmlformats.org/drawingml/2006/picture">
                <pic:pic>
                  <pic:nvPicPr>
                    <pic:cNvPr descr="diagrams/15-trajectory-STU0834.png" id="62" name="Picture"/>
                    <pic:cNvPicPr>
                      <a:picLocks noChangeArrowheads="1" noChangeAspect="1"/>
                    </pic:cNvPicPr>
                  </pic:nvPicPr>
                  <pic:blipFill>
                    <a:blip r:embed="rId60"/>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A trajectory: STU0834 in Expressing mathematical arguments</w:t>
      </w:r>
    </w:p>
    <w:p>
      <w:pPr>
        <w:pStyle w:val="BodyText"/>
      </w:pPr>
      <w:r>
        <w:rPr>
          <w:iCs/>
          <w:i/>
        </w:rPr>
        <w:t xml:space="preserve">Figure 5c: One trajectory from the 100-subject cohort, drawn for the User Document (its §4.5 explains it for readers of the dashboard). Four first-year subjects sat and declining, two second-year subjects ahead, ordered by year digit because the default declared sequence covers only the three supplied subjects.</w:t>
      </w:r>
    </w:p>
    <w:p>
      <w:pPr>
        <w:pStyle w:val="BodyText"/>
      </w:pPr>
      <w:r>
        <w:rPr>
          <w:bCs/>
          <w:b/>
        </w:rPr>
        <w:t xml:space="preserve">Ahead is unfiltered without a course map.</w:t>
      </w:r>
      <w:r>
        <w:t xml:space="preserve"> </w:t>
      </w:r>
      <w:r>
        <w:t xml:space="preserve">On the three-subject workbook</w:t>
      </w:r>
      <w:r>
        <w:t xml:space="preserve"> </w:t>
      </w:r>
      <w:r>
        <w:t xml:space="preserve">“</w:t>
      </w:r>
      <w:r>
        <w:t xml:space="preserve">ahead</w:t>
      </w:r>
      <w:r>
        <w:t xml:space="preserve">”</w:t>
      </w:r>
      <w:r>
        <w:t xml:space="preserve"> </w:t>
      </w:r>
      <w:r>
        <w:t xml:space="preserve">is exact. On the 100-subject cohort a competency can span fifteen subjects across seven programs, so a student’s chain lists subjects from degrees they are not in, and a skipped earlier-year subject appears as ahead. The chain is correct about where the competency is assessed and wrong as a list of the student’s next subjects; filtering it needs the program, which the catalogue’s</w:t>
      </w:r>
      <w:r>
        <w:t xml:space="preserve"> </w:t>
      </w:r>
      <w:r>
        <w:rPr>
          <w:rStyle w:val="VerbatimChar"/>
        </w:rPr>
        <w:t xml:space="preserve">programs:</w:t>
      </w:r>
      <w:r>
        <w:t xml:space="preserve"> </w:t>
      </w:r>
      <w:r>
        <w:t xml:space="preserve">block and the Student Summary’s Program column both carry but the loader does not yet read. That is the first follow-up (§8.2).</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63"/>
    <w:bookmarkEnd w:id="64"/>
    <w:bookmarkStart w:id="71" w:name="deployment-and-environment"/>
    <w:p>
      <w:pPr>
        <w:pStyle w:val="Heading2"/>
      </w:pPr>
      <w:r>
        <w:t xml:space="preserve">4. Deployment and environment</w:t>
      </w:r>
    </w:p>
    <w:bookmarkStart w:id="65"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65"/>
    <w:bookmarkStart w:id="66"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6"/>
    <w:bookmarkStart w:id="67"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7"/>
    <w:bookmarkStart w:id="68"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8"/>
    <w:bookmarkStart w:id="69"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9"/>
    <w:bookmarkStart w:id="70"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70"/>
    <w:bookmarkEnd w:id="71"/>
    <w:bookmarkStart w:id="81" w:name="ongoing-maintenance"/>
    <w:p>
      <w:pPr>
        <w:pStyle w:val="Heading2"/>
      </w:pPr>
      <w:r>
        <w:t xml:space="preserve">5. Ongoing maintenance</w:t>
      </w:r>
    </w:p>
    <w:bookmarkStart w:id="72"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72"/>
    <w:bookmarkStart w:id="73"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73"/>
    <w:bookmarkStart w:id="74"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74"/>
    <w:bookmarkStart w:id="75"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75"/>
    <w:bookmarkStart w:id="76"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6"/>
    <w:bookmarkStart w:id="77"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7"/>
    <w:bookmarkStart w:id="78"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r>
              <w:t xml:space="preserve"> </w:t>
            </w:r>
            <w:r>
              <w:rPr>
                <w:iCs/>
                <w:i/>
              </w:rPr>
              <w:t xml:space="preserve">Resolved 3 Oct 2026: all eight sources redrawn and rendered via</w:t>
            </w:r>
            <w:r>
              <w:rPr>
                <w:iCs/>
                <w:i/>
              </w:rPr>
              <w:t xml:space="preserve"> </w:t>
            </w:r>
            <w:r>
              <w:rPr>
                <w:rStyle w:val="VerbatimChar"/>
                <w:iCs/>
                <w:i/>
              </w:rPr>
              <w:t xml:space="preserve">docs/design/build.sh</w:t>
            </w:r>
          </w:p>
        </w:tc>
        <w:tc>
          <w:tcPr/>
          <w:p>
            <w:pPr>
              <w:pStyle w:val="Compact"/>
              <w:jc w:val="left"/>
            </w:pPr>
            <w:r>
              <w:rPr>
                <w:rStyle w:val="VerbatimChar"/>
              </w:rPr>
              <w:t xml:space="preserve">docs/handover/diagrams/*.mmd</w:t>
            </w:r>
          </w:p>
        </w:tc>
        <w:tc>
          <w:tcPr/>
          <w:p>
            <w:pPr>
              <w:pStyle w:val="Compact"/>
              <w:jc w:val="left"/>
            </w:pPr>
            <w:r>
              <w:t xml:space="preserve">—</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8"/>
    <w:bookmarkStart w:id="79"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9"/>
    <w:bookmarkStart w:id="80" w:name="documentation-that-is-known-to-be-stale"/>
    <w:p>
      <w:pPr>
        <w:pStyle w:val="Heading3"/>
      </w:pPr>
      <w:r>
        <w:t xml:space="preserve">5.9 Documentation that is known to be stale</w:t>
      </w:r>
    </w:p>
    <w:p>
      <w:pPr>
        <w:pStyle w:val="FirstParagraph"/>
      </w:pPr>
      <w:r>
        <w:t xml:space="preserve">Fixed on 3 October 2026 in the documentation refresh: the four README items below, the root README’s roadmap (which still called the staff gate and three dashboard views unbuilt), the three August design PDFs (rebuilt from Markdown sources under</w:t>
      </w:r>
      <w:r>
        <w:t xml:space="preserve"> </w:t>
      </w:r>
      <w:r>
        <w:rPr>
          <w:rStyle w:val="VerbatimChar"/>
        </w:rPr>
        <w:t xml:space="preserve">docs/design/</w:t>
      </w:r>
      <w:r>
        <w:t xml:space="preserve">, with Word copies), and the §3 diagrams. The list is kept as the record of what was stale. Still open: UAT-01 (the quick start’s cache path).</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80"/>
    <w:bookmarkEnd w:id="81"/>
    <w:bookmarkStart w:id="87" w:name="testing"/>
    <w:p>
      <w:pPr>
        <w:pStyle w:val="Heading2"/>
      </w:pPr>
      <w:r>
        <w:t xml:space="preserve">6. Testing</w:t>
      </w:r>
    </w:p>
    <w:bookmarkStart w:id="82"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82"/>
    <w:bookmarkStart w:id="83"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83"/>
    <w:bookmarkStart w:id="84"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84"/>
    <w:bookmarkStart w:id="85"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85"/>
    <w:bookmarkStart w:id="86"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6"/>
    <w:bookmarkEnd w:id="87"/>
    <w:bookmarkStart w:id="93"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8"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8"/>
    <w:bookmarkStart w:id="89"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9"/>
    <w:bookmarkStart w:id="90"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90"/>
    <w:bookmarkStart w:id="91"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91"/>
    <w:bookmarkStart w:id="92"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92"/>
    <w:bookmarkEnd w:id="93"/>
    <w:bookmarkStart w:id="99"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94"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94"/>
    <w:bookmarkStart w:id="95"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in order: filter</w:t>
      </w:r>
      <w:r>
        <w:t xml:space="preserve"> </w:t>
      </w:r>
      <w:r>
        <w:t xml:space="preserve">“</w:t>
      </w:r>
      <w:r>
        <w:t xml:space="preserve">ahead</w:t>
      </w:r>
      <w:r>
        <w:t xml:space="preserve">”</w:t>
      </w:r>
      <w:r>
        <w:t xml:space="preserve"> </w:t>
      </w:r>
      <w:r>
        <w:t xml:space="preserve">to the student’s own program (the Program column exists in the workbook and the catalogue; the loader drops it), which is what makes the chain readable on a large cohort (§3.11);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95"/>
    <w:bookmarkStart w:id="96"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6"/>
    <w:bookmarkStart w:id="97"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7"/>
    <w:bookmarkStart w:id="98"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8"/>
    <w:bookmarkEnd w:id="99"/>
    <w:bookmarkStart w:id="100"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100"/>
    <w:bookmarkStart w:id="108"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101"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101"/>
    <w:bookmarkStart w:id="102"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102"/>
    <w:bookmarkStart w:id="103"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103"/>
    <w:bookmarkStart w:id="104"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104"/>
    <w:bookmarkStart w:id="105"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105"/>
    <w:bookmarkStart w:id="106"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6"/>
    <w:bookmarkStart w:id="107"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7"/>
    <w:bookmarkEnd w:id="108"/>
    <w:bookmarkStart w:id="109"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r>
        <w:tc>
          <w:tcPr/>
          <w:p>
            <w:pPr>
              <w:pStyle w:val="Compact"/>
              <w:jc w:val="left"/>
            </w:pPr>
            <w:r>
              <w:t xml:space="preserve">Design pages (2.0)</w:t>
            </w:r>
          </w:p>
        </w:tc>
        <w:tc>
          <w:tcPr/>
          <w:p>
            <w:pPr>
              <w:pStyle w:val="Compact"/>
              <w:jc w:val="left"/>
            </w:pPr>
            <w:r>
              <w:rPr>
                <w:rStyle w:val="VerbatimChar"/>
              </w:rPr>
              <w:t xml:space="preserve">docs/design/*.md</w:t>
            </w:r>
            <w:r>
              <w:t xml:space="preserve"> </w:t>
            </w:r>
            <w:r>
              <w:t xml:space="preserve">→</w:t>
            </w:r>
            <w:r>
              <w:t xml:space="preserve"> </w:t>
            </w:r>
            <w:r>
              <w:rPr>
                <w:rStyle w:val="VerbatimChar"/>
              </w:rPr>
              <w:t xml:space="preserve">docs/LJA — Data &amp; Algorithm Pipeline.pdf</w:t>
            </w:r>
            <w:r>
              <w:t xml:space="preserve">,</w:t>
            </w:r>
            <w:r>
              <w:t xml:space="preserve"> </w:t>
            </w:r>
            <w:r>
              <w:rPr>
                <w:rStyle w:val="VerbatimChar"/>
              </w:rPr>
              <w:t xml:space="preserve">LJA -- Pipeline.pdf</w:t>
            </w:r>
            <w:r>
              <w:t xml:space="preserve">,</w:t>
            </w:r>
            <w:r>
              <w:t xml:space="preserve"> </w:t>
            </w:r>
            <w:r>
              <w:rPr>
                <w:rStyle w:val="VerbatimChar"/>
              </w:rPr>
              <w:t xml:space="preserve">LJA — UML Use Case &amp; Sequence Diagrams.pdf</w:t>
            </w:r>
            <w:r>
              <w:t xml:space="preserve"> </w:t>
            </w:r>
            <w:r>
              <w:t xml:space="preserve">(+</w:t>
            </w:r>
            <w:r>
              <w:t xml:space="preserve"> </w:t>
            </w:r>
            <w:r>
              <w:rPr>
                <w:rStyle w:val="VerbatimChar"/>
              </w:rPr>
              <w:t xml:space="preserve">.docx</w:t>
            </w:r>
            <w:r>
              <w:t xml:space="preserve">)</w:t>
            </w:r>
          </w:p>
        </w:tc>
        <w:tc>
          <w:tcPr/>
          <w:p>
            <w:pPr>
              <w:pStyle w:val="Compact"/>
              <w:jc w:val="left"/>
            </w:pPr>
            <w:r>
              <w:t xml:space="preserve">The August 2026 artifact pages rebuilt from sources on 3 Oct 2026; same diagrams as §3</w:t>
            </w:r>
          </w:p>
        </w:tc>
      </w:tr>
      <w:tr>
        <w:tc>
          <w:tcPr/>
          <w:p>
            <w:pPr>
              <w:pStyle w:val="Compact"/>
              <w:jc w:val="left"/>
            </w:pPr>
            <w:r>
              <w:t xml:space="preserve">Requirements status</w:t>
            </w:r>
          </w:p>
        </w:tc>
        <w:tc>
          <w:tcPr/>
          <w:p>
            <w:pPr>
              <w:pStyle w:val="Compact"/>
              <w:jc w:val="left"/>
            </w:pPr>
            <w:r>
              <w:rPr>
                <w:rStyle w:val="VerbatimChar"/>
              </w:rPr>
              <w:t xml:space="preserve">docs/design/requirements-status.md</w:t>
            </w:r>
            <w:r>
              <w:t xml:space="preserve"> </w:t>
            </w:r>
            <w:r>
              <w:t xml:space="preserve">→</w:t>
            </w:r>
            <w:r>
              <w:t xml:space="preserve"> </w:t>
            </w:r>
            <w:r>
              <w:rPr>
                <w:rStyle w:val="VerbatimChar"/>
              </w:rPr>
              <w:t xml:space="preserve">docs/LJA -- Requirements_status.pdf</w:t>
            </w:r>
            <w:r>
              <w:t xml:space="preserve"> </w:t>
            </w:r>
            <w:r>
              <w:t xml:space="preserve">(+</w:t>
            </w:r>
            <w:r>
              <w:t xml:space="preserve"> </w:t>
            </w:r>
            <w:r>
              <w:rPr>
                <w:rStyle w:val="VerbatimChar"/>
              </w:rPr>
              <w:t xml:space="preserve">.docx</w:t>
            </w:r>
            <w:r>
              <w:t xml:space="preserve">)</w:t>
            </w:r>
          </w:p>
        </w:tc>
        <w:tc>
          <w:tcPr/>
          <w:p>
            <w:pPr>
              <w:pStyle w:val="Compact"/>
              <w:jc w:val="left"/>
            </w:pPr>
            <w:r>
              <w:t xml:space="preserve">Every FR and NFR from the 11 Aug meeting record with its status on</w:t>
            </w:r>
            <w:r>
              <w:t xml:space="preserve"> </w:t>
            </w:r>
            <w:r>
              <w:rPr>
                <w:rStyle w:val="VerbatimChar"/>
              </w:rPr>
              <w:t xml:space="preserve">main</w:t>
            </w:r>
          </w:p>
        </w:tc>
      </w:tr>
    </w:tbl>
    <w:bookmarkEnd w:id="109"/>
    <w:bookmarkStart w:id="110"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with Figure 5c and the unfiltered-ahead finding, decision D19, story D12, configuration rows, repository map, debt items 7 and 8 resolved to configuration, §8.2 and Appendix B reconciled. Ships on the IOLG-106 branch.</w:t>
            </w:r>
          </w:p>
        </w:tc>
      </w:tr>
      <w:tr>
        <w:tc>
          <w:tcPr/>
          <w:p>
            <w:pPr>
              <w:pStyle w:val="Compact"/>
              <w:jc w:val="left"/>
            </w:pPr>
            <w:r>
              <w:t xml:space="preserve">0.7</w:t>
            </w:r>
          </w:p>
        </w:tc>
        <w:tc>
          <w:tcPr/>
          <w:p>
            <w:pPr>
              <w:pStyle w:val="Compact"/>
              <w:jc w:val="left"/>
            </w:pPr>
            <w:r>
              <w:t xml:space="preserve">3 Oct 2026</w:t>
            </w:r>
          </w:p>
        </w:tc>
        <w:tc>
          <w:tcPr/>
          <w:p>
            <w:pPr>
              <w:pStyle w:val="Compact"/>
              <w:jc w:val="left"/>
            </w:pPr>
            <w:r>
              <w:t xml:space="preserve">Allan Campton (drafted with Claude Code)</w:t>
            </w:r>
          </w:p>
        </w:tc>
        <w:tc>
          <w:tcPr/>
          <w:p>
            <w:pPr>
              <w:pStyle w:val="Compact"/>
              <w:jc w:val="left"/>
            </w:pPr>
            <w:r>
              <w:t xml:space="preserve">Documentation refresh: §3 diagrams redrawn (architecture, use cases, classes, sequences, trust boundaries, lineage) and Figure 5d added; §5.9 stale items fixed; debt item 22 resolved; Appendix C lists the rebuilt design pages and the requirements status. Numbered 0.7 because 0.6 (D20, the generate button) is in PR #55.</w:t>
            </w:r>
          </w:p>
        </w:tc>
      </w:tr>
    </w:tbl>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60" Target="media/rId60.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2026-10-02T15:35:36Z</dcterms:created>
  <dcterms:modified xsi:type="dcterms:W3CDTF">2026-10-02T15:35:36Z</dcterms:modified>
</cp:coreProperties>
</file>

<file path=docProps/custom.xml><?xml version="1.0" encoding="utf-8"?>
<Properties xmlns="http://schemas.openxmlformats.org/officeDocument/2006/custom-properties" xmlns:vt="http://schemas.openxmlformats.org/officeDocument/2006/docPropsVTypes"/>
</file>