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jc w:val="center"/>
        <w:rPr/>
      </w:pPr>
      <w:r>
        <w:rPr/>
      </w:r>
    </w:p>
    <w:p>
      <w:pPr>
        <w:pStyle w:val="Normal"/>
        <w:jc w:val="center"/>
        <w:rPr/>
      </w:pPr>
      <w:r>
        <w:rPr/>
        <w:drawing>
          <wp:inline distT="0" distB="0" distL="0" distR="0">
            <wp:extent cx="2057400" cy="609600"/>
            <wp:effectExtent l="0" t="0" r="0" b="0"/>
            <wp:docPr id="1"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logo&#10;&#10;Description automatically generated"/>
                    <pic:cNvPicPr>
                      <a:picLocks noChangeAspect="1" noChangeArrowheads="1"/>
                    </pic:cNvPicPr>
                  </pic:nvPicPr>
                  <pic:blipFill>
                    <a:blip r:embed="rId2"/>
                    <a:stretch>
                      <a:fillRect/>
                    </a:stretch>
                  </pic:blipFill>
                  <pic:spPr bwMode="auto">
                    <a:xfrm>
                      <a:off x="0" y="0"/>
                      <a:ext cx="2057400" cy="609600"/>
                    </a:xfrm>
                    <a:prstGeom prst="rect">
                      <a:avLst/>
                    </a:prstGeom>
                  </pic:spPr>
                </pic:pic>
              </a:graphicData>
            </a:graphic>
          </wp:inline>
        </w:drawing>
      </w:r>
    </w:p>
    <w:p>
      <w:pPr>
        <w:pStyle w:val="Normal"/>
        <w:jc w:val="center"/>
        <w:rPr/>
      </w:pPr>
      <w:r>
        <w:rPr/>
      </w:r>
    </w:p>
    <w:p>
      <w:pPr>
        <w:pStyle w:val="Normal"/>
        <w:ind w:firstLine="720" w:left="2880"/>
        <w:rPr/>
      </w:pPr>
      <w:r>
        <w:rPr/>
        <w:t>Department of Computer Science</w:t>
      </w:r>
    </w:p>
    <w:p>
      <w:pPr>
        <w:pStyle w:val="Normal"/>
        <w:rPr/>
      </w:pPr>
      <w:r>
        <w:rPr/>
      </w:r>
    </w:p>
    <w:p>
      <w:pPr>
        <w:pStyle w:val="Normal"/>
        <w:jc w:val="center"/>
        <w:rPr>
          <w:b/>
          <w:sz w:val="32"/>
        </w:rPr>
      </w:pPr>
      <w:r>
        <w:rPr>
          <w:b/>
          <w:sz w:val="32"/>
        </w:rPr>
      </w:r>
    </w:p>
    <w:p>
      <w:pPr>
        <w:pStyle w:val="Normal"/>
        <w:spacing w:lineRule="auto" w:line="252" w:before="0" w:after="80"/>
        <w:jc w:val="center"/>
        <w:rPr>
          <w:b/>
          <w:sz w:val="32"/>
        </w:rPr>
      </w:pPr>
      <w:r>
        <w:rPr>
          <w:b/>
          <w:sz w:val="28"/>
        </w:rPr>
        <w:t>Request for Tenders No. 2026-CSE5IDP-S2-W</w:t>
      </w:r>
    </w:p>
    <w:p>
      <w:pPr>
        <w:pStyle w:val="Normal"/>
        <w:rPr/>
      </w:pPr>
      <w:r>
        <w:rPr/>
      </w:r>
    </w:p>
    <w:p>
      <w:pPr>
        <w:pStyle w:val="Normal"/>
        <w:pBdr>
          <w:top w:val="single" w:sz="24" w:space="1" w:color="000000"/>
          <w:left w:val="single" w:sz="24" w:space="1" w:color="000000"/>
          <w:bottom w:val="single" w:sz="24" w:space="1" w:color="000000"/>
          <w:right w:val="single" w:sz="24" w:space="1" w:color="000000"/>
        </w:pBdr>
        <w:shd w:val="pct10" w:color="auto" w:fill="auto"/>
        <w:jc w:val="center"/>
        <w:rPr>
          <w:b/>
          <w:smallCaps/>
          <w:sz w:val="32"/>
        </w:rPr>
      </w:pPr>
      <w:r>
        <w:rPr>
          <w:b/>
          <w:smallCaps/>
          <w:sz w:val="32"/>
        </w:rPr>
      </w:r>
    </w:p>
    <w:p>
      <w:pPr>
        <w:pStyle w:val="Normal"/>
        <w:pBdr>
          <w:top w:val="single" w:sz="24" w:space="1" w:color="000000"/>
          <w:left w:val="single" w:sz="24" w:space="1" w:color="000000"/>
          <w:bottom w:val="single" w:sz="24" w:space="1" w:color="000000"/>
          <w:right w:val="single" w:sz="24" w:space="1" w:color="000000"/>
        </w:pBdr>
        <w:shd w:val="pct10" w:color="auto" w:fill="auto"/>
        <w:spacing w:lineRule="auto" w:line="252" w:before="0" w:after="80"/>
        <w:jc w:val="center"/>
        <w:rPr>
          <w:b/>
          <w:i/>
          <w:i/>
          <w:smallCaps/>
          <w:sz w:val="32"/>
        </w:rPr>
      </w:pPr>
      <w:r>
        <w:rPr>
          <w:b/>
          <w:sz w:val="36"/>
        </w:rPr>
        <w:t>LEARNING JOURNEY ASSISTANT</w:t>
      </w:r>
    </w:p>
    <w:p>
      <w:pPr>
        <w:pStyle w:val="Normal"/>
        <w:pBdr>
          <w:top w:val="single" w:sz="24" w:space="1" w:color="000000"/>
          <w:left w:val="single" w:sz="24" w:space="1" w:color="000000"/>
          <w:bottom w:val="single" w:sz="24" w:space="1" w:color="000000"/>
          <w:right w:val="single" w:sz="24" w:space="1" w:color="000000"/>
        </w:pBdr>
        <w:shd w:val="pct10" w:color="auto" w:fill="auto"/>
        <w:jc w:val="center"/>
        <w:rPr>
          <w:b/>
          <w:smallCaps/>
          <w:sz w:val="32"/>
        </w:rPr>
      </w:pPr>
      <w:r>
        <w:rPr>
          <w:b/>
          <w:smallCaps/>
          <w:sz w:val="32"/>
        </w:rPr>
      </w:r>
    </w:p>
    <w:p>
      <w:pPr>
        <w:pStyle w:val="Normal"/>
        <w:rPr/>
      </w:pPr>
      <w:r>
        <w:rPr/>
      </w:r>
    </w:p>
    <w:tbl>
      <w:tblPr>
        <w:tblW w:w="8931" w:type="dxa"/>
        <w:jc w:val="left"/>
        <w:tblInd w:w="-5" w:type="dxa"/>
        <w:tblLayout w:type="fixed"/>
        <w:tblCellMar>
          <w:top w:w="0" w:type="dxa"/>
          <w:left w:w="108" w:type="dxa"/>
          <w:bottom w:w="0" w:type="dxa"/>
          <w:right w:w="108" w:type="dxa"/>
        </w:tblCellMar>
        <w:tblLook w:val="0000" w:noHBand="0" w:noVBand="0" w:firstColumn="0" w:lastRow="0" w:lastColumn="0" w:firstRow="0"/>
      </w:tblPr>
      <w:tblGrid>
        <w:gridCol w:w="3779"/>
        <w:gridCol w:w="5151"/>
      </w:tblGrid>
      <w:tr>
        <w:trPr/>
        <w:tc>
          <w:tcPr>
            <w:tcW w:w="377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rPr>
              <w:t>Lodgement Place:</w:t>
            </w:r>
          </w:p>
        </w:tc>
        <w:tc>
          <w:tcPr>
            <w:tcW w:w="5151" w:type="dxa"/>
            <w:tcBorders>
              <w:top w:val="single" w:sz="4" w:space="0" w:color="000000"/>
              <w:left w:val="single" w:sz="4" w:space="0" w:color="000000"/>
              <w:bottom w:val="single" w:sz="4" w:space="0" w:color="000000"/>
              <w:right w:val="single" w:sz="4" w:space="0" w:color="000000"/>
            </w:tcBorders>
            <w:vAlign w:val="center"/>
          </w:tcPr>
          <w:p>
            <w:pPr>
              <w:pStyle w:val="Normal"/>
              <w:rPr/>
            </w:pPr>
            <w:r>
              <w:rPr/>
              <w:t>LMS Subject Shell</w:t>
              <w:br/>
              <w:t>Tender Box</w:t>
              <w:br/>
              <w:t xml:space="preserve">Attention: Project Owner </w:t>
            </w:r>
            <w:r>
              <w:rPr>
                <w:shd w:fill="auto" w:val="clear"/>
                <w14:ligatures w14:val="none"/>
              </w:rPr>
              <w:t>RFT No. 2026-CSE5IDP-S2-W</w:t>
            </w:r>
            <w:r>
              <w:rPr/>
              <w:br/>
              <w:t>Department of Computer Science, La Trobe University.</w:t>
            </w:r>
          </w:p>
        </w:tc>
      </w:tr>
      <w:tr>
        <w:trPr/>
        <w:tc>
          <w:tcPr>
            <w:tcW w:w="377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rPr>
              <w:t>Submission Date</w:t>
            </w:r>
          </w:p>
        </w:tc>
        <w:tc>
          <w:tcPr>
            <w:tcW w:w="5151" w:type="dxa"/>
            <w:tcBorders>
              <w:top w:val="single" w:sz="4" w:space="0" w:color="000000"/>
              <w:left w:val="single" w:sz="4" w:space="0" w:color="000000"/>
              <w:bottom w:val="single" w:sz="4" w:space="0" w:color="000000"/>
              <w:right w:val="single" w:sz="4" w:space="0" w:color="000000"/>
            </w:tcBorders>
            <w:vAlign w:val="center"/>
          </w:tcPr>
          <w:p>
            <w:pPr>
              <w:pStyle w:val="Normal"/>
              <w:rPr/>
            </w:pPr>
            <w:r>
              <w:rPr/>
              <w:t>23/08/2026</w:t>
            </w:r>
          </w:p>
        </w:tc>
      </w:tr>
    </w:tbl>
    <w:p>
      <w:pPr>
        <w:pStyle w:val="Normal"/>
        <w:rPr/>
      </w:pPr>
      <w:r>
        <w:rPr/>
      </w:r>
    </w:p>
    <w:p>
      <w:pPr>
        <w:pStyle w:val="Normal"/>
        <w:spacing w:lineRule="auto" w:line="259" w:before="0" w:after="160"/>
        <w:rPr/>
      </w:pPr>
      <w:r>
        <w:rPr/>
      </w:r>
      <w:r>
        <w:br w:type="page"/>
      </w:r>
    </w:p>
    <w:tbl>
      <w:tblPr>
        <w:tblStyle w:val="TableGrid"/>
        <w:tblW w:w="9900" w:type="dxa"/>
        <w:jc w:val="left"/>
        <w:tblInd w:w="-361" w:type="dxa"/>
        <w:tblLayout w:type="fixed"/>
        <w:tblCellMar>
          <w:top w:w="0" w:type="dxa"/>
          <w:left w:w="108" w:type="dxa"/>
          <w:bottom w:w="0" w:type="dxa"/>
          <w:right w:w="108" w:type="dxa"/>
        </w:tblCellMar>
        <w:tblLook w:val="01e0" w:noHBand="0" w:noVBand="0" w:firstColumn="1" w:lastRow="1" w:lastColumn="1" w:firstRow="1"/>
      </w:tblPr>
      <w:tblGrid>
        <w:gridCol w:w="232"/>
        <w:gridCol w:w="1747"/>
        <w:gridCol w:w="3691"/>
        <w:gridCol w:w="961"/>
        <w:gridCol w:w="94"/>
        <w:gridCol w:w="944"/>
        <w:gridCol w:w="31"/>
        <w:gridCol w:w="993"/>
        <w:gridCol w:w="1202"/>
        <w:gridCol w:w="4"/>
      </w:tblGrid>
      <w:tr>
        <w:trPr/>
        <w:tc>
          <w:tcPr>
            <w:tcW w:w="232" w:type="dxa"/>
            <w:tcBorders>
              <w:top w:val="nil"/>
              <w:left w:val="nil"/>
              <w:bottom w:val="nil"/>
              <w:right w:val="nil"/>
            </w:tcBorders>
          </w:tcPr>
          <w:p>
            <w:pPr>
              <w:pStyle w:val="Normal"/>
              <w:pageBreakBefore/>
              <w:widowControl/>
              <w:suppressAutoHyphens w:val="true"/>
              <w:spacing w:before="0" w:after="0"/>
              <w:jc w:val="left"/>
              <w:rPr>
                <w:b/>
              </w:rPr>
            </w:pPr>
            <w:r>
              <w:rPr>
                <w:b/>
              </w:rPr>
            </w:r>
          </w:p>
        </w:tc>
        <w:tc>
          <w:tcPr>
            <w:tcW w:w="6493" w:type="dxa"/>
            <w:gridSpan w:val="4"/>
            <w:tcBorders>
              <w:top w:val="nil"/>
              <w:left w:val="nil"/>
              <w:bottom w:val="nil"/>
            </w:tcBorders>
          </w:tcPr>
          <w:p>
            <w:pPr>
              <w:pStyle w:val="Normal"/>
              <w:widowControl/>
              <w:suppressAutoHyphens w:val="true"/>
              <w:spacing w:before="0" w:after="0"/>
              <w:jc w:val="left"/>
              <w:rPr>
                <w:b/>
              </w:rPr>
            </w:pPr>
            <w:r>
              <w:rPr>
                <w:rStyle w:val="Style3"/>
                <w:rFonts w:eastAsia="" w:cs="Times New Roman" w:eastAsiaTheme="majorEastAsia"/>
                <w:sz w:val="24"/>
                <w:szCs w:val="24"/>
              </w:rPr>
              <w:t>Tenderer details</w:t>
            </w:r>
          </w:p>
        </w:tc>
        <w:tc>
          <w:tcPr>
            <w:tcW w:w="944" w:type="dxa"/>
            <w:tcBorders/>
            <w:vAlign w:val="center"/>
          </w:tcPr>
          <w:p>
            <w:pPr>
              <w:pStyle w:val="Normal"/>
              <w:widowControl/>
              <w:suppressAutoHyphens w:val="true"/>
              <w:spacing w:before="0" w:after="0"/>
              <w:jc w:val="left"/>
              <w:rPr>
                <w:lang w:val="en-AU" w:bidi="ar-SA"/>
              </w:rPr>
            </w:pPr>
            <w:r>
              <w:rPr>
                <w:lang w:val="en-AU" w:bidi="ar-SA"/>
              </w:rPr>
              <w:t>ABN:</w:t>
            </w:r>
          </w:p>
        </w:tc>
        <w:tc>
          <w:tcPr>
            <w:tcW w:w="2230" w:type="dxa"/>
            <w:gridSpan w:val="4"/>
            <w:tcBorders/>
          </w:tcPr>
          <w:p>
            <w:pPr>
              <w:pStyle w:val="Normal"/>
              <w:widowControl/>
              <w:suppressAutoHyphens w:val="true"/>
              <w:spacing w:before="0" w:after="0"/>
              <w:jc w:val="left"/>
              <w:rPr>
                <w:lang w:val="en-AU" w:bidi="ar-SA"/>
              </w:rPr>
            </w:pPr>
            <w:r>
              <w:rPr>
                <w:lang w:val="en-AU" w:bidi="ar-SA"/>
              </w:rPr>
              <w:t>Student project</w:t>
            </w:r>
          </w:p>
        </w:tc>
      </w:tr>
      <w:tr>
        <w:trPr/>
        <w:tc>
          <w:tcPr>
            <w:tcW w:w="232" w:type="dxa"/>
            <w:tcBorders>
              <w:top w:val="nil"/>
              <w:left w:val="nil"/>
              <w:bottom w:val="nil"/>
              <w:right w:val="nil"/>
            </w:tcBorders>
          </w:tcPr>
          <w:p>
            <w:pPr>
              <w:pStyle w:val="Normal"/>
              <w:widowControl/>
              <w:suppressAutoHyphens w:val="true"/>
              <w:spacing w:before="0" w:after="0"/>
              <w:jc w:val="left"/>
              <w:rPr>
                <w:b/>
              </w:rPr>
            </w:pPr>
            <w:r>
              <w:rPr>
                <w:b/>
              </w:rPr>
            </w:r>
          </w:p>
        </w:tc>
        <w:tc>
          <w:tcPr>
            <w:tcW w:w="6493" w:type="dxa"/>
            <w:gridSpan w:val="4"/>
            <w:tcBorders>
              <w:top w:val="nil"/>
              <w:left w:val="nil"/>
              <w:bottom w:val="nil"/>
            </w:tcBorders>
          </w:tcPr>
          <w:p>
            <w:pPr>
              <w:pStyle w:val="Normal"/>
              <w:widowControl/>
              <w:suppressAutoHyphens w:val="true"/>
              <w:spacing w:before="0" w:after="0"/>
              <w:jc w:val="left"/>
              <w:rPr>
                <w:b/>
              </w:rPr>
            </w:pPr>
            <w:r>
              <w:rPr>
                <w:b/>
              </w:rPr>
            </w:r>
          </w:p>
        </w:tc>
        <w:tc>
          <w:tcPr>
            <w:tcW w:w="944" w:type="dxa"/>
            <w:tcBorders/>
            <w:vAlign w:val="center"/>
          </w:tcPr>
          <w:p>
            <w:pPr>
              <w:pStyle w:val="Normal"/>
              <w:widowControl/>
              <w:suppressAutoHyphens w:val="true"/>
              <w:spacing w:before="0" w:after="0"/>
              <w:jc w:val="left"/>
              <w:rPr>
                <w:lang w:val="en-AU" w:bidi="ar-SA"/>
              </w:rPr>
            </w:pPr>
            <w:r>
              <w:rPr>
                <w:lang w:val="en-AU" w:bidi="ar-SA"/>
              </w:rPr>
              <w:t>ACN:</w:t>
            </w:r>
          </w:p>
        </w:tc>
        <w:tc>
          <w:tcPr>
            <w:tcW w:w="2230" w:type="dxa"/>
            <w:gridSpan w:val="4"/>
            <w:tcBorders/>
          </w:tcPr>
          <w:p>
            <w:pPr>
              <w:pStyle w:val="Normal"/>
              <w:widowControl/>
              <w:suppressAutoHyphens w:val="true"/>
              <w:spacing w:before="0" w:after="0"/>
              <w:jc w:val="left"/>
              <w:rPr>
                <w:lang w:val="en-AU" w:bidi="ar-SA"/>
              </w:rPr>
            </w:pPr>
            <w:r>
              <w:rPr>
                <w:lang w:val="en-AU" w:bidi="ar-SA"/>
              </w:rPr>
              <w:t>Student project</w:t>
            </w:r>
            <w:bookmarkStart w:id="0" w:name="OLE_LINK5"/>
            <w:bookmarkStart w:id="1" w:name="OLE_LINK7"/>
            <w:bookmarkEnd w:id="0"/>
            <w:bookmarkEnd w:id="1"/>
          </w:p>
        </w:tc>
      </w:tr>
      <w:tr>
        <w:trPr/>
        <w:tc>
          <w:tcPr>
            <w:tcW w:w="1979" w:type="dxa"/>
            <w:gridSpan w:val="2"/>
            <w:tcBorders/>
          </w:tcPr>
          <w:p>
            <w:pPr>
              <w:pStyle w:val="Normal"/>
              <w:widowControl/>
              <w:suppressAutoHyphens w:val="true"/>
              <w:spacing w:before="0" w:after="0"/>
              <w:jc w:val="left"/>
              <w:rPr>
                <w:lang w:val="en-AU" w:bidi="ar-SA"/>
              </w:rPr>
            </w:pPr>
            <w:r>
              <w:rPr>
                <w:lang w:val="en-AU" w:bidi="ar-SA"/>
              </w:rPr>
              <w:t>Tenderer’s legal name:</w:t>
            </w:r>
          </w:p>
        </w:tc>
        <w:tc>
          <w:tcPr>
            <w:tcW w:w="7916" w:type="dxa"/>
            <w:gridSpan w:val="7"/>
            <w:tcBorders/>
            <w:vAlign w:val="center"/>
          </w:tcPr>
          <w:p>
            <w:pPr>
              <w:pStyle w:val="Normal"/>
              <w:widowControl/>
              <w:suppressAutoHyphens w:val="true"/>
              <w:spacing w:before="0" w:after="0"/>
              <w:jc w:val="left"/>
              <w:rPr>
                <w:lang w:val="en-AU" w:bidi="ar-SA"/>
              </w:rPr>
            </w:pPr>
            <w:r>
              <w:rPr>
                <w:lang w:val="en-AU" w:bidi="ar-SA"/>
              </w:rPr>
              <w:t>Learning Journey Assistant – Group 3 CSE5IDP</w:t>
            </w:r>
          </w:p>
        </w:tc>
        <w:tc>
          <w:tcPr>
            <w:tcW w:w="4" w:type="dxa"/>
            <w:tcBorders>
              <w:top w:val="nil"/>
              <w:left w:val="nil"/>
              <w:bottom w:val="nil"/>
              <w:right w:val="nil"/>
            </w:tcBorders>
          </w:tcPr>
          <w:p>
            <w:pPr>
              <w:pStyle w:val="Normal"/>
              <w:widowControl/>
              <w:suppressAutoHyphens w:val="true"/>
              <w:spacing w:before="0" w:after="0"/>
              <w:jc w:val="left"/>
              <w:rPr>
                <w:lang w:val="en-AU" w:bidi="ar-SA"/>
              </w:rPr>
            </w:pPr>
            <w:r>
              <w:rPr>
                <w:lang w:val="en-AU" w:bidi="ar-SA"/>
              </w:rPr>
            </w:r>
          </w:p>
        </w:tc>
      </w:tr>
      <w:tr>
        <w:trPr/>
        <w:tc>
          <w:tcPr>
            <w:tcW w:w="1979" w:type="dxa"/>
            <w:gridSpan w:val="2"/>
            <w:tcBorders/>
          </w:tcPr>
          <w:p>
            <w:pPr>
              <w:pStyle w:val="Normal"/>
              <w:widowControl/>
              <w:suppressAutoHyphens w:val="true"/>
              <w:spacing w:before="0" w:after="0"/>
              <w:jc w:val="left"/>
              <w:rPr>
                <w:lang w:val="en-AU" w:bidi="ar-SA"/>
              </w:rPr>
            </w:pPr>
            <w:r>
              <w:rPr>
                <w:lang w:val="en-AU" w:bidi="ar-SA"/>
              </w:rPr>
              <w:t>Postal Address:</w:t>
            </w:r>
          </w:p>
        </w:tc>
        <w:tc>
          <w:tcPr>
            <w:tcW w:w="7916" w:type="dxa"/>
            <w:gridSpan w:val="7"/>
            <w:tcBorders/>
            <w:vAlign w:val="center"/>
          </w:tcPr>
          <w:p>
            <w:pPr>
              <w:pStyle w:val="Normal"/>
              <w:widowControl/>
              <w:suppressAutoHyphens w:val="true"/>
              <w:spacing w:before="0" w:after="0"/>
              <w:jc w:val="left"/>
              <w:rPr>
                <w:lang w:val="en-AU" w:bidi="ar-SA"/>
              </w:rPr>
            </w:pPr>
            <w:r>
              <w:rPr>
                <w:lang w:val="en-AU" w:bidi="ar-SA"/>
              </w:rPr>
              <w:t>La Trobe University / Online cohort</w:t>
            </w:r>
          </w:p>
        </w:tc>
        <w:tc>
          <w:tcPr>
            <w:tcW w:w="4" w:type="dxa"/>
            <w:tcBorders>
              <w:top w:val="nil"/>
              <w:left w:val="nil"/>
              <w:bottom w:val="nil"/>
              <w:right w:val="nil"/>
            </w:tcBorders>
          </w:tcPr>
          <w:p>
            <w:pPr>
              <w:pStyle w:val="Normal"/>
              <w:widowControl/>
              <w:suppressAutoHyphens w:val="true"/>
              <w:spacing w:before="0" w:after="0"/>
              <w:jc w:val="left"/>
              <w:rPr>
                <w:lang w:val="en-AU" w:bidi="ar-SA"/>
              </w:rPr>
            </w:pPr>
            <w:r>
              <w:rPr>
                <w:lang w:val="en-AU" w:bidi="ar-SA"/>
              </w:rPr>
            </w:r>
          </w:p>
        </w:tc>
      </w:tr>
      <w:tr>
        <w:trPr/>
        <w:tc>
          <w:tcPr>
            <w:tcW w:w="1979" w:type="dxa"/>
            <w:gridSpan w:val="2"/>
            <w:tcBorders/>
          </w:tcPr>
          <w:p>
            <w:pPr>
              <w:pStyle w:val="Normal"/>
              <w:widowControl/>
              <w:suppressAutoHyphens w:val="true"/>
              <w:spacing w:before="0" w:after="0"/>
              <w:jc w:val="left"/>
              <w:rPr>
                <w:lang w:val="en-AU" w:bidi="ar-SA"/>
              </w:rPr>
            </w:pPr>
            <w:r>
              <w:rPr>
                <w:lang w:val="en-AU" w:bidi="ar-SA"/>
              </w:rPr>
              <w:t>Street Address:</w:t>
            </w:r>
          </w:p>
        </w:tc>
        <w:tc>
          <w:tcPr>
            <w:tcW w:w="7916" w:type="dxa"/>
            <w:gridSpan w:val="7"/>
            <w:tcBorders/>
            <w:vAlign w:val="center"/>
          </w:tcPr>
          <w:p>
            <w:pPr>
              <w:pStyle w:val="Normal"/>
              <w:widowControl/>
              <w:suppressAutoHyphens w:val="true"/>
              <w:spacing w:before="0" w:after="0"/>
              <w:jc w:val="left"/>
              <w:rPr>
                <w:lang w:val="en-AU" w:bidi="ar-SA"/>
              </w:rPr>
            </w:pPr>
            <w:r>
              <w:rPr>
                <w:lang w:val="en-AU" w:bidi="ar-SA"/>
              </w:rPr>
              <w:t>N/A - university student project</w:t>
            </w:r>
          </w:p>
        </w:tc>
        <w:tc>
          <w:tcPr>
            <w:tcW w:w="4" w:type="dxa"/>
            <w:tcBorders>
              <w:top w:val="nil"/>
              <w:left w:val="nil"/>
              <w:bottom w:val="nil"/>
              <w:right w:val="nil"/>
            </w:tcBorders>
          </w:tcPr>
          <w:p>
            <w:pPr>
              <w:pStyle w:val="Normal"/>
              <w:widowControl/>
              <w:suppressAutoHyphens w:val="true"/>
              <w:spacing w:before="0" w:after="0"/>
              <w:jc w:val="left"/>
              <w:rPr>
                <w:lang w:val="en-AU" w:bidi="ar-SA"/>
              </w:rPr>
            </w:pPr>
            <w:r>
              <w:rPr>
                <w:lang w:val="en-AU" w:bidi="ar-SA"/>
              </w:rPr>
            </w:r>
          </w:p>
        </w:tc>
      </w:tr>
      <w:tr>
        <w:trPr/>
        <w:tc>
          <w:tcPr>
            <w:tcW w:w="1979" w:type="dxa"/>
            <w:gridSpan w:val="2"/>
            <w:tcBorders/>
          </w:tcPr>
          <w:p>
            <w:pPr>
              <w:pStyle w:val="Normal"/>
              <w:widowControl/>
              <w:suppressAutoHyphens w:val="true"/>
              <w:spacing w:before="0" w:after="0"/>
              <w:jc w:val="left"/>
              <w:rPr>
                <w:lang w:val="en-AU" w:bidi="ar-SA"/>
              </w:rPr>
            </w:pPr>
            <w:r>
              <w:rPr>
                <w:lang w:val="en-AU" w:bidi="ar-SA"/>
              </w:rPr>
              <w:t>City/Town:</w:t>
            </w:r>
          </w:p>
        </w:tc>
        <w:tc>
          <w:tcPr>
            <w:tcW w:w="3691" w:type="dxa"/>
            <w:tcBorders/>
            <w:vAlign w:val="center"/>
          </w:tcPr>
          <w:p>
            <w:pPr>
              <w:pStyle w:val="Normal"/>
              <w:widowControl/>
              <w:suppressAutoHyphens w:val="true"/>
              <w:spacing w:before="0" w:after="0"/>
              <w:jc w:val="left"/>
              <w:rPr>
                <w:lang w:val="en-AU" w:bidi="ar-SA"/>
              </w:rPr>
            </w:pPr>
            <w:r>
              <w:rPr>
                <w:lang w:val="en-AU" w:bidi="ar-SA"/>
              </w:rPr>
              <w:t>Bundoora</w:t>
            </w:r>
          </w:p>
        </w:tc>
        <w:tc>
          <w:tcPr>
            <w:tcW w:w="961" w:type="dxa"/>
            <w:tcBorders/>
          </w:tcPr>
          <w:p>
            <w:pPr>
              <w:pStyle w:val="Normal"/>
              <w:widowControl/>
              <w:suppressAutoHyphens w:val="true"/>
              <w:spacing w:before="0" w:after="0"/>
              <w:jc w:val="left"/>
              <w:rPr>
                <w:lang w:val="en-AU" w:bidi="ar-SA"/>
              </w:rPr>
            </w:pPr>
            <w:r>
              <w:rPr>
                <w:lang w:val="en-AU" w:bidi="ar-SA"/>
              </w:rPr>
              <w:t>State:</w:t>
            </w:r>
          </w:p>
        </w:tc>
        <w:tc>
          <w:tcPr>
            <w:tcW w:w="1069" w:type="dxa"/>
            <w:gridSpan w:val="3"/>
            <w:tcBorders/>
            <w:vAlign w:val="center"/>
          </w:tcPr>
          <w:p>
            <w:pPr>
              <w:pStyle w:val="Normal"/>
              <w:widowControl/>
              <w:suppressAutoHyphens w:val="true"/>
              <w:spacing w:before="0" w:after="0"/>
              <w:jc w:val="left"/>
              <w:rPr>
                <w:lang w:val="en-AU" w:bidi="ar-SA"/>
              </w:rPr>
            </w:pPr>
            <w:r>
              <w:rPr>
                <w:lang w:val="en-AU" w:bidi="ar-SA"/>
              </w:rPr>
              <w:t>VIC</w:t>
            </w:r>
          </w:p>
        </w:tc>
        <w:tc>
          <w:tcPr>
            <w:tcW w:w="993" w:type="dxa"/>
            <w:tcBorders/>
          </w:tcPr>
          <w:p>
            <w:pPr>
              <w:pStyle w:val="Normal"/>
              <w:widowControl/>
              <w:suppressAutoHyphens w:val="true"/>
              <w:spacing w:before="0" w:after="0"/>
              <w:jc w:val="left"/>
              <w:rPr>
                <w:lang w:val="en-AU" w:bidi="ar-SA"/>
              </w:rPr>
            </w:pPr>
            <w:r>
              <w:rPr>
                <w:lang w:val="en-AU" w:bidi="ar-SA"/>
              </w:rPr>
              <w:t>P/code:</w:t>
            </w:r>
          </w:p>
        </w:tc>
        <w:tc>
          <w:tcPr>
            <w:tcW w:w="1202" w:type="dxa"/>
            <w:tcBorders/>
            <w:vAlign w:val="center"/>
          </w:tcPr>
          <w:p>
            <w:pPr>
              <w:pStyle w:val="Normal"/>
              <w:widowControl/>
              <w:suppressAutoHyphens w:val="true"/>
              <w:spacing w:before="0" w:after="0"/>
              <w:jc w:val="left"/>
              <w:rPr>
                <w:lang w:val="en-AU" w:bidi="ar-SA"/>
              </w:rPr>
            </w:pPr>
            <w:r>
              <w:rPr>
                <w:lang w:val="en-AU" w:bidi="ar-SA"/>
              </w:rPr>
              <w:t>3086</w:t>
            </w:r>
          </w:p>
        </w:tc>
        <w:tc>
          <w:tcPr>
            <w:tcW w:w="4" w:type="dxa"/>
            <w:tcBorders>
              <w:top w:val="nil"/>
              <w:left w:val="nil"/>
              <w:bottom w:val="nil"/>
              <w:right w:val="nil"/>
            </w:tcBorders>
          </w:tcPr>
          <w:p>
            <w:pPr>
              <w:pStyle w:val="Normal"/>
              <w:widowControl/>
              <w:suppressAutoHyphens w:val="true"/>
              <w:spacing w:before="0" w:after="0"/>
              <w:jc w:val="left"/>
              <w:rPr>
                <w:lang w:val="en-AU" w:bidi="ar-SA"/>
              </w:rPr>
            </w:pPr>
            <w:r>
              <w:rPr>
                <w:lang w:val="en-AU" w:bidi="ar-SA"/>
              </w:rPr>
            </w:r>
          </w:p>
        </w:tc>
      </w:tr>
      <w:tr>
        <w:trPr>
          <w:trHeight w:val="376" w:hRule="atLeast"/>
        </w:trPr>
        <w:tc>
          <w:tcPr>
            <w:tcW w:w="1979" w:type="dxa"/>
            <w:gridSpan w:val="2"/>
            <w:tcBorders/>
          </w:tcPr>
          <w:p>
            <w:pPr>
              <w:pStyle w:val="Normal"/>
              <w:widowControl/>
              <w:suppressAutoHyphens w:val="true"/>
              <w:spacing w:before="0" w:after="0"/>
              <w:jc w:val="left"/>
              <w:rPr>
                <w:lang w:val="en-AU" w:bidi="ar-SA"/>
              </w:rPr>
            </w:pPr>
            <w:r>
              <w:rPr>
                <w:lang w:val="en-AU" w:bidi="ar-SA"/>
              </w:rPr>
              <w:t>Authorised contact:</w:t>
            </w:r>
          </w:p>
        </w:tc>
        <w:tc>
          <w:tcPr>
            <w:tcW w:w="7916" w:type="dxa"/>
            <w:gridSpan w:val="7"/>
            <w:tcBorders/>
            <w:vAlign w:val="center"/>
          </w:tcPr>
          <w:p>
            <w:pPr>
              <w:pStyle w:val="Normal"/>
              <w:widowControl/>
              <w:suppressAutoHyphens w:val="true"/>
              <w:spacing w:before="0" w:after="0"/>
              <w:jc w:val="left"/>
              <w:rPr>
                <w:lang w:val="en-AU" w:bidi="ar-SA"/>
              </w:rPr>
            </w:pPr>
            <w:r>
              <w:rPr>
                <w:lang w:val="en-AU" w:bidi="ar-SA"/>
              </w:rPr>
              <w:t>Allan Campton</w:t>
            </w:r>
          </w:p>
        </w:tc>
        <w:tc>
          <w:tcPr>
            <w:tcW w:w="4" w:type="dxa"/>
            <w:tcBorders>
              <w:top w:val="nil"/>
              <w:left w:val="nil"/>
              <w:bottom w:val="nil"/>
              <w:right w:val="nil"/>
            </w:tcBorders>
          </w:tcPr>
          <w:p>
            <w:pPr>
              <w:pStyle w:val="Normal"/>
              <w:widowControl/>
              <w:suppressAutoHyphens w:val="true"/>
              <w:spacing w:before="0" w:after="0"/>
              <w:jc w:val="left"/>
              <w:rPr>
                <w:lang w:val="en-AU" w:bidi="ar-SA"/>
              </w:rPr>
            </w:pPr>
            <w:r>
              <w:rPr>
                <w:lang w:val="en-AU" w:bidi="ar-SA"/>
              </w:rPr>
            </w:r>
          </w:p>
        </w:tc>
      </w:tr>
      <w:tr>
        <w:trPr>
          <w:trHeight w:val="251" w:hRule="atLeast"/>
        </w:trPr>
        <w:tc>
          <w:tcPr>
            <w:tcW w:w="1979" w:type="dxa"/>
            <w:gridSpan w:val="2"/>
            <w:tcBorders/>
          </w:tcPr>
          <w:p>
            <w:pPr>
              <w:pStyle w:val="Normal"/>
              <w:widowControl/>
              <w:suppressAutoHyphens w:val="true"/>
              <w:spacing w:before="0" w:after="0"/>
              <w:jc w:val="left"/>
              <w:rPr>
                <w:lang w:val="en-AU" w:bidi="ar-SA"/>
              </w:rPr>
            </w:pPr>
            <w:r>
              <w:rPr>
                <w:lang w:val="en-AU" w:bidi="ar-SA"/>
              </w:rPr>
              <w:t>Email Address:</w:t>
            </w:r>
          </w:p>
        </w:tc>
        <w:tc>
          <w:tcPr>
            <w:tcW w:w="3691" w:type="dxa"/>
            <w:tcBorders/>
            <w:vAlign w:val="center"/>
          </w:tcPr>
          <w:p>
            <w:pPr>
              <w:pStyle w:val="Normal"/>
              <w:widowControl/>
              <w:suppressAutoHyphens w:val="true"/>
              <w:spacing w:before="0" w:after="0"/>
              <w:jc w:val="left"/>
              <w:rPr>
                <w:lang w:val="en-AU" w:bidi="ar-SA"/>
              </w:rPr>
            </w:pPr>
            <w:hyperlink r:id="rId3">
              <w:r>
                <w:rPr>
                  <w:rStyle w:val="Hyperlink"/>
                  <w:lang w:val="en-AU" w:bidi="ar-SA"/>
                </w:rPr>
                <w:t>21206266@students.latrobe.edu.au</w:t>
              </w:r>
            </w:hyperlink>
          </w:p>
        </w:tc>
        <w:tc>
          <w:tcPr>
            <w:tcW w:w="961" w:type="dxa"/>
            <w:tcBorders/>
          </w:tcPr>
          <w:p>
            <w:pPr>
              <w:pStyle w:val="Normal"/>
              <w:widowControl/>
              <w:suppressAutoHyphens w:val="true"/>
              <w:spacing w:before="0" w:after="0"/>
              <w:jc w:val="left"/>
              <w:rPr>
                <w:highlight w:val="none"/>
                <w:shd w:fill="auto" w:val="clear"/>
                <w:lang w:val="en-AU" w:bidi="ar-SA"/>
                <w14:ligatures w14:val="none"/>
              </w:rPr>
            </w:pPr>
            <w:r>
              <w:rPr>
                <w:shd w:fill="auto" w:val="clear"/>
                <w:lang w:val="en-AU" w:bidi="ar-SA"/>
                <w14:ligatures w14:val="none"/>
              </w:rPr>
              <w:t>Phone:</w:t>
            </w:r>
          </w:p>
        </w:tc>
        <w:tc>
          <w:tcPr>
            <w:tcW w:w="3264" w:type="dxa"/>
            <w:gridSpan w:val="5"/>
            <w:tcBorders/>
            <w:vAlign w:val="center"/>
          </w:tcPr>
          <w:p>
            <w:pPr>
              <w:pStyle w:val="Normal"/>
              <w:widowControl/>
              <w:suppressAutoHyphens w:val="true"/>
              <w:spacing w:before="0" w:after="0"/>
              <w:jc w:val="left"/>
              <w:rPr>
                <w:highlight w:val="none"/>
                <w:shd w:fill="auto" w:val="clear"/>
                <w:lang w:val="en-AU" w:bidi="ar-SA"/>
                <w14:ligatures w14:val="none"/>
              </w:rPr>
            </w:pPr>
            <w:r>
              <w:rPr>
                <w:shd w:fill="auto" w:val="clear"/>
                <w:lang w:val="en-AU" w:bidi="ar-SA"/>
                <w14:ligatures w14:val="none"/>
              </w:rPr>
              <w:t>0424 072 801</w:t>
            </w:r>
          </w:p>
        </w:tc>
        <w:tc>
          <w:tcPr>
            <w:tcW w:w="4" w:type="dxa"/>
            <w:tcBorders>
              <w:top w:val="nil"/>
              <w:left w:val="nil"/>
              <w:bottom w:val="nil"/>
              <w:right w:val="nil"/>
            </w:tcBorders>
          </w:tcPr>
          <w:p>
            <w:pPr>
              <w:pStyle w:val="Normal"/>
              <w:widowControl/>
              <w:suppressAutoHyphens w:val="true"/>
              <w:spacing w:before="0" w:after="0"/>
              <w:jc w:val="left"/>
              <w:rPr>
                <w:lang w:val="en-AU" w:bidi="ar-SA"/>
              </w:rPr>
            </w:pPr>
            <w:r>
              <w:rPr>
                <w:lang w:val="en-AU" w:bidi="ar-SA"/>
              </w:rPr>
            </w:r>
          </w:p>
        </w:tc>
      </w:tr>
    </w:tbl>
    <w:p>
      <w:pPr>
        <w:pStyle w:val="Normal"/>
        <w:rPr>
          <w:b/>
          <w:sz w:val="32"/>
          <w:szCs w:val="32"/>
        </w:rPr>
      </w:pPr>
      <w:r>
        <w:rPr>
          <w:b/>
          <w:sz w:val="32"/>
          <w:szCs w:val="32"/>
        </w:rPr>
      </w:r>
    </w:p>
    <w:p>
      <w:pPr>
        <w:pStyle w:val="Normal"/>
        <w:spacing w:lineRule="auto" w:line="252" w:before="0" w:after="80"/>
        <w:rPr/>
      </w:pPr>
      <w:r>
        <w:rPr/>
      </w:r>
      <w:r>
        <w:br w:type="page"/>
      </w:r>
    </w:p>
    <w:p>
      <w:pPr>
        <w:pStyle w:val="Heading1"/>
        <w:spacing w:before="0" w:after="160"/>
        <w:rPr/>
      </w:pPr>
      <w:r>
        <w:rPr>
          <w:b/>
          <w:bCs/>
          <w:color w:val="1F3864"/>
          <w:sz w:val="26"/>
          <w:szCs w:val="26"/>
        </w:rPr>
        <w:t>1  Project Summary</w:t>
      </w:r>
    </w:p>
    <w:tbl>
      <w:tblPr>
        <w:tblW w:w="9020" w:type="dxa"/>
        <w:jc w:val="left"/>
        <w:tblInd w:w="0" w:type="dxa"/>
        <w:tblLayout w:type="fixed"/>
        <w:tblCellMar>
          <w:top w:w="60" w:type="dxa"/>
          <w:left w:w="100" w:type="dxa"/>
          <w:bottom w:w="60" w:type="dxa"/>
          <w:right w:w="100" w:type="dxa"/>
        </w:tblCellMar>
      </w:tblPr>
      <w:tblGrid>
        <w:gridCol w:w="1999"/>
        <w:gridCol w:w="7020"/>
      </w:tblGrid>
      <w:tr>
        <w:trPr>
          <w:tblHeader w:val="true"/>
        </w:trPr>
        <w:tc>
          <w:tcPr>
            <w:tcW w:w="1999"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Element</w:t>
            </w:r>
          </w:p>
        </w:tc>
        <w:tc>
          <w:tcPr>
            <w:tcW w:w="702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Project Summary</w:t>
            </w:r>
          </w:p>
        </w:tc>
      </w:tr>
      <w:tr>
        <w:trPr/>
        <w:tc>
          <w:tcPr>
            <w:tcW w:w="19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Purpose</w:t>
            </w:r>
          </w:p>
        </w:tc>
        <w:tc>
          <w:tcPr>
            <w:tcW w:w="7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Develop an AI-powered Learning Journey Assistant (LJA) that converts Moodle assessment results, rubric fills, marker feedback and subject intended learning outcomes (SILOs) into a personalised view of student mastery, strengths, learning gaps and next study actions.</w:t>
            </w:r>
          </w:p>
        </w:tc>
      </w:tr>
      <w:tr>
        <w:trPr/>
        <w:tc>
          <w:tcPr>
            <w:tcW w:w="19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Business Context</w:t>
            </w:r>
          </w:p>
        </w:tc>
        <w:tc>
          <w:tcPr>
            <w:tcW w:w="7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La Trobe already holds rich learning data in Moodle, and Moodle already encodes the assessment-to-SILO relationship. What is missing is a mechanism that acts on that relationship semantically and turns marks and feedback into actionable, personalised learning guidance. The project addresses this gap while preserving academic governance and privacy.</w:t>
            </w:r>
          </w:p>
        </w:tc>
      </w:tr>
      <w:tr>
        <w:trPr/>
        <w:tc>
          <w:tcPr>
            <w:tcW w:w="19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Objective</w:t>
            </w:r>
          </w:p>
        </w:tc>
        <w:tc>
          <w:tcPr>
            <w:tcW w:w="7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Deliver a Minimum Viable Product (MVP) demonstrating an end-to-end flow from Moodle data through extraction, semantic criterion-to-SILO mapping, competency clustering and relative gap detection, to a student dashboard, followed by grounded learning recommendations, adaptive quizzes and a structured data export supporting longitudinal and A/B evaluation of the intervention.</w:t>
            </w:r>
          </w:p>
        </w:tc>
      </w:tr>
      <w:tr>
        <w:trPr/>
        <w:tc>
          <w:tcPr>
            <w:tcW w:w="19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Complexity</w:t>
            </w:r>
          </w:p>
        </w:tc>
        <w:tc>
          <w:tcPr>
            <w:tcW w:w="7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Moderate-to-high complexity: Moodle integration, rubric-fill extraction limitations in the Web Services API, cross-subject competency mapping, semantic linking via embeddings with LLM adjudication, explainable gap calculation, AI grounding, privacy and security controls, dashboard integration, testing, and six-person Agile delivery across six sprints.</w:t>
            </w:r>
          </w:p>
        </w:tc>
      </w:tr>
      <w:tr>
        <w:trPr/>
        <w:tc>
          <w:tcPr>
            <w:tcW w:w="19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Feasibility Statement</w:t>
            </w:r>
          </w:p>
        </w:tc>
        <w:tc>
          <w:tcPr>
            <w:tcW w:w="7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sz w:val="20"/>
                <w:szCs w:val="20"/>
              </w:rPr>
              <w:t xml:space="preserve">Feasible within the semester because the team is prioritising a thin vertical slice and has already de-risked the foundation. Evidence to date: a working Dockerised Moodle development environment is running locally; the API and read-only SQL extraction spike is complete; the rubric-fill join through </w:t>
            </w:r>
            <w:r>
              <w:rPr>
                <w:rFonts w:eastAsia="Consolas" w:cs="Consolas" w:ascii="Consolas" w:hAnsi="Consolas"/>
                <w:sz w:val="20"/>
                <w:szCs w:val="20"/>
              </w:rPr>
              <w:t>grading_instances.itemid</w:t>
            </w:r>
            <w:r>
              <w:rPr>
                <w:sz w:val="20"/>
                <w:szCs w:val="20"/>
              </w:rPr>
              <w:t xml:space="preserve"> has been proven; a structured requirements document has been produced from a recorded project-owner meeting; and the team completed the public trade show milestone in Week 4. The remaining work is integration, the competency and gap engine, the dashboard, the AI features, export and validation.</w:t>
            </w:r>
          </w:p>
        </w:tc>
      </w:tr>
      <w:tr>
        <w:trPr/>
        <w:tc>
          <w:tcPr>
            <w:tcW w:w="19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Recommendations</w:t>
            </w:r>
          </w:p>
        </w:tc>
        <w:tc>
          <w:tcPr>
            <w:tcW w:w="7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Build the walking skeleton first and protect it; remain local-first with least-privilege, read-only access; develop against synthetic data until the project-owner dataset is released; confirm at-risk threshold rules and the Moodle outcome mechanism with the project owner early; require pull-request review and test evidence before Done; and descope adaptive quizzes ahead of the core dashboard and gap-detection capability if the schedule tightens.</w:t>
            </w:r>
          </w:p>
        </w:tc>
      </w:tr>
    </w:tbl>
    <w:p>
      <w:pPr>
        <w:pStyle w:val="Heading1"/>
        <w:spacing w:before="320" w:after="160"/>
        <w:rPr/>
      </w:pPr>
      <w:r>
        <w:rPr>
          <w:b/>
          <w:bCs/>
          <w:color w:val="1F3864"/>
          <w:sz w:val="26"/>
          <w:szCs w:val="26"/>
        </w:rPr>
        <w:t>2  Business Assessment</w:t>
      </w:r>
    </w:p>
    <w:p>
      <w:pPr>
        <w:pStyle w:val="Normal"/>
        <w:spacing w:before="0" w:after="120"/>
        <w:rPr/>
      </w:pPr>
      <w:r>
        <w:rPr>
          <w:sz w:val="20"/>
          <w:szCs w:val="20"/>
        </w:rPr>
        <w:t>The business case is to improve how existing Moodle information is transformed into practical learning support. The LJA augments rather than replaces Moodle, teaching staff or formal assessment processes.</w:t>
      </w:r>
    </w:p>
    <w:tbl>
      <w:tblPr>
        <w:tblW w:w="9020" w:type="dxa"/>
        <w:jc w:val="left"/>
        <w:tblInd w:w="0" w:type="dxa"/>
        <w:tblLayout w:type="fixed"/>
        <w:tblCellMar>
          <w:top w:w="60" w:type="dxa"/>
          <w:left w:w="100" w:type="dxa"/>
          <w:bottom w:w="60" w:type="dxa"/>
          <w:right w:w="100" w:type="dxa"/>
        </w:tblCellMar>
      </w:tblPr>
      <w:tblGrid>
        <w:gridCol w:w="1999"/>
        <w:gridCol w:w="7020"/>
      </w:tblGrid>
      <w:tr>
        <w:trPr>
          <w:tblHeader w:val="true"/>
        </w:trPr>
        <w:tc>
          <w:tcPr>
            <w:tcW w:w="1999"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Area</w:t>
            </w:r>
          </w:p>
        </w:tc>
        <w:tc>
          <w:tcPr>
            <w:tcW w:w="702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Assessment</w:t>
            </w:r>
          </w:p>
        </w:tc>
      </w:tr>
      <w:tr>
        <w:trPr/>
        <w:tc>
          <w:tcPr>
            <w:tcW w:w="19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Situation Assessment</w:t>
            </w:r>
          </w:p>
        </w:tc>
        <w:tc>
          <w:tcPr>
            <w:tcW w:w="7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Students receive marks, rubric decisions and written feedback across separate Moodle activities. The information is fragmented, presented per-activity rather than per-outcome, and difficult to interpret longitudinally. Moodle also holds learning outcomes and competency structures that can support a more rigorous mastery model but are not currently surfaced to students.</w:t>
            </w:r>
          </w:p>
        </w:tc>
      </w:tr>
      <w:tr>
        <w:trPr/>
        <w:tc>
          <w:tcPr>
            <w:tcW w:w="19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Problem Statement</w:t>
            </w:r>
          </w:p>
        </w:tc>
        <w:tc>
          <w:tcPr>
            <w:tcW w:w="7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Students lack a reliable way to understand what they have mastered, where gaps persist, why those gaps matter for later subjects, and what they should study next. Existing feedback is therefore under-used and never becomes an individual improvement plan. Teaching staff have no aggregated view of where a cohort is weak against SILOs.</w:t>
            </w:r>
          </w:p>
        </w:tc>
      </w:tr>
      <w:tr>
        <w:trPr/>
        <w:tc>
          <w:tcPr>
            <w:tcW w:w="19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Business Need</w:t>
            </w:r>
          </w:p>
        </w:tc>
        <w:tc>
          <w:tcPr>
            <w:tcW w:w="7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A practical, transparent and privacy-conscious learning-support layer that increases feedback utilisation, supports self-regulated learning, improves visibility of progress, and produces exportable data allowing the University to measure whether the intervention actually improves outcomes — all without altering official grades.</w:t>
            </w:r>
          </w:p>
        </w:tc>
      </w:tr>
      <w:tr>
        <w:trPr/>
        <w:tc>
          <w:tcPr>
            <w:tcW w:w="19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Value and Measurability</w:t>
            </w:r>
          </w:p>
        </w:tc>
        <w:tc>
          <w:tcPr>
            <w:tcW w:w="7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sz w:val="20"/>
                <w:szCs w:val="20"/>
              </w:rPr>
              <w:t xml:space="preserve">The project owner has identified longitudinal and A/B evaluation as a must-have: cohorts using the LJA should be measurably compared with cohorts that do not. Anticipated benefits are therefore stated as measurable propositions rather than claims — increased feedback engagement, earlier identification of competency gaps ahead of capstone, and reduced remediation load on teaching staff. Baseline figures to be confirmed with the project owner, </w:t>
            </w:r>
            <w:r>
              <w:rPr>
                <w:sz w:val="20"/>
                <w:szCs w:val="20"/>
              </w:rPr>
              <w:t>for feedback-engagement and gap-remediation figures.</w:t>
            </w:r>
          </w:p>
        </w:tc>
      </w:tr>
    </w:tbl>
    <w:p>
      <w:pPr>
        <w:pStyle w:val="Heading2"/>
        <w:spacing w:before="220" w:after="120"/>
        <w:rPr/>
      </w:pPr>
      <w:r>
        <w:rPr>
          <w:b/>
          <w:bCs/>
          <w:color w:val="1F3864"/>
          <w:sz w:val="22"/>
          <w:szCs w:val="22"/>
        </w:rPr>
        <w:t>Options Consideration</w:t>
      </w:r>
    </w:p>
    <w:tbl>
      <w:tblPr>
        <w:tblW w:w="9020" w:type="dxa"/>
        <w:jc w:val="left"/>
        <w:tblInd w:w="0" w:type="dxa"/>
        <w:tblLayout w:type="fixed"/>
        <w:tblCellMar>
          <w:top w:w="60" w:type="dxa"/>
          <w:left w:w="100" w:type="dxa"/>
          <w:bottom w:w="60" w:type="dxa"/>
          <w:right w:w="100" w:type="dxa"/>
        </w:tblCellMar>
      </w:tblPr>
      <w:tblGrid>
        <w:gridCol w:w="1899"/>
        <w:gridCol w:w="2500"/>
        <w:gridCol w:w="2601"/>
        <w:gridCol w:w="2019"/>
      </w:tblGrid>
      <w:tr>
        <w:trPr>
          <w:tblHeader w:val="true"/>
        </w:trPr>
        <w:tc>
          <w:tcPr>
            <w:tcW w:w="1899"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Option</w:t>
            </w:r>
          </w:p>
        </w:tc>
        <w:tc>
          <w:tcPr>
            <w:tcW w:w="250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Benefits</w:t>
            </w:r>
          </w:p>
        </w:tc>
        <w:tc>
          <w:tcPr>
            <w:tcW w:w="2601"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Limitations</w:t>
            </w:r>
          </w:p>
        </w:tc>
        <w:tc>
          <w:tcPr>
            <w:tcW w:w="2019"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Assessment</w:t>
            </w:r>
          </w:p>
        </w:tc>
      </w:tr>
      <w:tr>
        <w:trPr/>
        <w:tc>
          <w:tcPr>
            <w:tcW w:w="18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1. Manual reports produced by teaching staff</w:t>
            </w:r>
          </w:p>
        </w:tc>
        <w:tc>
          <w:tcPr>
            <w:tcW w:w="25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Low technical complexity and low cost; no integration risk.</w:t>
            </w:r>
          </w:p>
        </w:tc>
        <w:tc>
          <w:tcPr>
            <w:tcW w:w="26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Static, labour-intensive, weak personalisation, poor longitudinal capability, does not scale across subjects.</w:t>
            </w:r>
          </w:p>
        </w:tc>
        <w:tc>
          <w:tcPr>
            <w:tcW w:w="20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Not preferred</w:t>
            </w:r>
          </w:p>
        </w:tc>
      </w:tr>
      <w:tr>
        <w:trPr/>
        <w:tc>
          <w:tcPr>
            <w:tcW w:w="18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2. Standalone LJA using Moodle APIs plus read-only SQL and a dashboard</w:t>
            </w:r>
          </w:p>
        </w:tc>
        <w:tc>
          <w:tcPr>
            <w:tcW w:w="25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Balances integration, control, privacy, explainability and delivery speed; supports a complete MVP within one semester; keeps Moodle untouched.</w:t>
            </w:r>
          </w:p>
        </w:tc>
        <w:tc>
          <w:tcPr>
            <w:tcW w:w="26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Requires careful criterion-to-outcome mapping and a secondary access path for rubric fills not exposed by Web Services.</w:t>
            </w:r>
          </w:p>
        </w:tc>
        <w:tc>
          <w:tcPr>
            <w:tcW w:w="20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Recommended</w:t>
            </w:r>
          </w:p>
        </w:tc>
      </w:tr>
      <w:tr>
        <w:trPr/>
        <w:tc>
          <w:tcPr>
            <w:tcW w:w="18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3. Full custom Moodle plugin</w:t>
            </w:r>
          </w:p>
        </w:tc>
        <w:tc>
          <w:tcPr>
            <w:tcW w:w="25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Deep native integration and cleaner access to Moodle-specific data structures.</w:t>
            </w:r>
          </w:p>
        </w:tc>
        <w:tc>
          <w:tcPr>
            <w:tcW w:w="26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Higher build, testing and maintenance effort; plugin review overhead; not achievable alongside the analytics work in one semester.</w:t>
            </w:r>
          </w:p>
        </w:tc>
        <w:tc>
          <w:tcPr>
            <w:tcW w:w="20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Stretch option</w:t>
            </w:r>
          </w:p>
        </w:tc>
      </w:tr>
      <w:tr>
        <w:trPr/>
        <w:tc>
          <w:tcPr>
            <w:tcW w:w="18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4. Cloud-first external AI solution</w:t>
            </w:r>
          </w:p>
        </w:tc>
        <w:tc>
          <w:tcPr>
            <w:tcW w:w="25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Rapid access to scalable managed AI services.</w:t>
            </w:r>
          </w:p>
        </w:tc>
        <w:tc>
          <w:tcPr>
            <w:tcW w:w="26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Higher governance burden, cross-border data-transfer and privacy risk, ongoing cost; unnecessary for an MVP on synthetic data.</w:t>
            </w:r>
          </w:p>
        </w:tc>
        <w:tc>
          <w:tcPr>
            <w:tcW w:w="20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Defer</w:t>
            </w:r>
          </w:p>
        </w:tc>
      </w:tr>
    </w:tbl>
    <w:p>
      <w:pPr>
        <w:pStyle w:val="Normal"/>
        <w:spacing w:before="0" w:after="120"/>
        <w:rPr/>
      </w:pPr>
      <w:r>
        <w:rPr/>
      </w:r>
    </w:p>
    <w:p>
      <w:pPr>
        <w:pStyle w:val="Normal"/>
        <w:spacing w:before="0" w:after="120"/>
        <w:rPr/>
      </w:pPr>
      <w:r>
        <w:rPr>
          <w:b/>
          <w:bCs/>
          <w:sz w:val="20"/>
          <w:szCs w:val="20"/>
        </w:rPr>
        <w:t xml:space="preserve">Justification for Option 2: </w:t>
      </w:r>
      <w:r>
        <w:rPr>
          <w:sz w:val="20"/>
          <w:szCs w:val="20"/>
        </w:rPr>
        <w:t>it is the only option that delivers every project-owner must-have inside the semester envelope while keeping identifiable data out of scope. It preserves a migration path to Option 3, since the extraction layer is abstracted behind an interface that a future Moodle web service can implement without changing the analytics or dashboard code.</w:t>
      </w:r>
    </w:p>
    <w:p>
      <w:pPr>
        <w:pStyle w:val="Heading1"/>
        <w:spacing w:before="320" w:after="160"/>
        <w:rPr/>
      </w:pPr>
      <w:r>
        <w:rPr>
          <w:b/>
          <w:bCs/>
          <w:color w:val="1F3864"/>
          <w:sz w:val="26"/>
          <w:szCs w:val="26"/>
        </w:rPr>
        <w:t>3  Project Scope</w:t>
      </w:r>
    </w:p>
    <w:tbl>
      <w:tblPr>
        <w:tblW w:w="9020" w:type="dxa"/>
        <w:jc w:val="left"/>
        <w:tblInd w:w="0" w:type="dxa"/>
        <w:tblLayout w:type="fixed"/>
        <w:tblCellMar>
          <w:top w:w="60" w:type="dxa"/>
          <w:left w:w="100" w:type="dxa"/>
          <w:bottom w:w="60" w:type="dxa"/>
          <w:right w:w="100" w:type="dxa"/>
        </w:tblCellMar>
      </w:tblPr>
      <w:tblGrid>
        <w:gridCol w:w="1999"/>
        <w:gridCol w:w="7020"/>
      </w:tblGrid>
      <w:tr>
        <w:trPr>
          <w:tblHeader w:val="true"/>
        </w:trPr>
        <w:tc>
          <w:tcPr>
            <w:tcW w:w="1999"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Scope Area</w:t>
            </w:r>
          </w:p>
        </w:tc>
        <w:tc>
          <w:tcPr>
            <w:tcW w:w="702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Definition</w:t>
            </w:r>
          </w:p>
        </w:tc>
      </w:tr>
      <w:tr>
        <w:trPr/>
        <w:tc>
          <w:tcPr>
            <w:tcW w:w="19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In Scope</w:t>
            </w:r>
          </w:p>
        </w:tc>
        <w:tc>
          <w:tcPr>
            <w:tcW w:w="7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Secure Moodle development integration; synthetic student cohorts; assessment, rubric-fill and feedback extraction; semantic criterion-to-SILO mapping; competency clustering; relative mastery and gap detection; student dashboard; progress view; recommended resources; personalised study guidance; adaptive quiz capability; structured data export for longitudinal and A/B study; testing, security, documentation and handover.</w:t>
            </w:r>
          </w:p>
        </w:tc>
      </w:tr>
      <w:tr>
        <w:trPr/>
        <w:tc>
          <w:tcPr>
            <w:tcW w:w="19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Out of Scope</w:t>
            </w:r>
          </w:p>
        </w:tc>
        <w:tc>
          <w:tcPr>
            <w:tcW w:w="7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Changing official grades; replacing academic judgement; use of identifiable real student data in the MVP; university-wide production rollout; mandatory cloud migration; in-semester automated triggering of interventions; predictive academic-risk analytics; conversational AI tutoring; and SFIA or other employability-framework integration — each treated as nice-to-have or stretch work only.</w:t>
            </w:r>
          </w:p>
        </w:tc>
      </w:tr>
      <w:tr>
        <w:trPr/>
        <w:tc>
          <w:tcPr>
            <w:tcW w:w="19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Assumptions</w:t>
            </w:r>
          </w:p>
        </w:tc>
        <w:tc>
          <w:tcPr>
            <w:tcW w:w="7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The project owner will provide or approve representative subject structures, course backups and SILOs for three degree course maps; synthetic student records are acceptable for development; the multi-subject dataset will be released in time for Sprint 3; all six team members retain access to Jira, GitHub, MS Teams and the local development stack.</w:t>
            </w:r>
          </w:p>
        </w:tc>
      </w:tr>
      <w:tr>
        <w:trPr/>
        <w:tc>
          <w:tcPr>
            <w:tcW w:w="19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Constraints</w:t>
            </w:r>
          </w:p>
        </w:tc>
        <w:tc>
          <w:tcPr>
            <w:tcW w:w="7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University privacy, security and data-governance requirements, including any institutional constraint on LLM provider selection; Moodle Web Services coverage gaps for rubric fills; outputs must be grounded in structured subject data; a nine-teaching-week delivery envelope; six-person part-time team availability; project-owner response times.</w:t>
            </w:r>
          </w:p>
        </w:tc>
      </w:tr>
      <w:tr>
        <w:trPr/>
        <w:tc>
          <w:tcPr>
            <w:tcW w:w="19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Scope of Work</w:t>
            </w:r>
          </w:p>
        </w:tc>
        <w:tc>
          <w:tcPr>
            <w:tcW w:w="7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Set up and seed Moodle; extract and normalise learning data; semantically map criteria to outcomes; cluster competencies; calculate relative mastery and gaps; implement the dashboard; generate grounded study support; add adaptive quizzes where feasible; implement structured export; execute QA and security checks; prepare handover and demonstration artefacts.</w:t>
            </w:r>
          </w:p>
        </w:tc>
      </w:tr>
      <w:tr>
        <w:trPr/>
        <w:tc>
          <w:tcPr>
            <w:tcW w:w="19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Implementation Strategy</w:t>
            </w:r>
          </w:p>
        </w:tc>
        <w:tc>
          <w:tcPr>
            <w:tcW w:w="7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Six Agile sprints using a thin vertical-slice approach. A one-student, one-subject walking skeleton is built first and then widened across students and subjects. Dockerised Moodle, Python services, read-only PostgreSQL access where the API cannot reach, embeddings with LLM adjudication for semantic linking, provider abstraction so the LLM backend can be swapped, CI and pull-request review, acceptance-criteria-driven testing, and incremental project-owner demonstrations at each sprint review.</w:t>
            </w:r>
          </w:p>
        </w:tc>
      </w:tr>
      <w:tr>
        <w:trPr/>
        <w:tc>
          <w:tcPr>
            <w:tcW w:w="19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Governance and Team Agreement</w:t>
            </w:r>
          </w:p>
        </w:tc>
        <w:tc>
          <w:tcPr>
            <w:tcW w:w="7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Scrum Master rotates each sprint so every member presents at least once. Jira is the single source of work and evidence; GitHub uses a branch-and-pull-request workflow with at least one peer reviewer before merge. Definition of Done requires acceptance criteria met, automated checks passing, documentation updated and evidence attached to the Jira issue. Standing team meeting each week plus a weekly project-owner slot; decisions and blockers are recorded in Jira or meeting notes within 24 hours. Members commit approximately 15 hours per week. Escalation path: team member to Scrum Master, Scrum Master to project owner or lab facilitator, unresolved matters to the subject coordinator. Non-contribution is raised in retrospective first and escalated only if unresolved after one sprint.</w:t>
            </w:r>
          </w:p>
        </w:tc>
      </w:tr>
    </w:tbl>
    <w:p>
      <w:pPr>
        <w:pStyle w:val="Heading2"/>
        <w:spacing w:before="220" w:after="120"/>
        <w:rPr/>
      </w:pPr>
      <w:r>
        <w:rPr>
          <w:b/>
          <w:bCs/>
          <w:color w:val="1F3864"/>
          <w:sz w:val="22"/>
          <w:szCs w:val="22"/>
        </w:rPr>
        <w:t>Key Risks and Controls</w:t>
      </w:r>
    </w:p>
    <w:p>
      <w:pPr>
        <w:pStyle w:val="Normal"/>
        <w:spacing w:before="0" w:after="120"/>
        <w:rPr/>
      </w:pPr>
      <w:r>
        <w:rPr>
          <w:sz w:val="20"/>
          <w:szCs w:val="20"/>
        </w:rPr>
        <w:t>Risks are identified, analysed for likelihood and impact, assigned a control and an owner, and re-scored as a residual level. The register is reviewed at every sprint retrospective by the nominated risk manager.</w:t>
      </w:r>
    </w:p>
    <w:tbl>
      <w:tblPr>
        <w:tblW w:w="9020" w:type="dxa"/>
        <w:jc w:val="left"/>
        <w:tblInd w:w="0" w:type="dxa"/>
        <w:tblLayout w:type="fixed"/>
        <w:tblCellMar>
          <w:top w:w="60" w:type="dxa"/>
          <w:left w:w="100" w:type="dxa"/>
          <w:bottom w:w="60" w:type="dxa"/>
          <w:right w:w="100" w:type="dxa"/>
        </w:tblCellMar>
      </w:tblPr>
      <w:tblGrid>
        <w:gridCol w:w="2300"/>
        <w:gridCol w:w="900"/>
        <w:gridCol w:w="3519"/>
        <w:gridCol w:w="1300"/>
        <w:gridCol w:w="1001"/>
      </w:tblGrid>
      <w:tr>
        <w:trPr>
          <w:tblHeader w:val="true"/>
        </w:trPr>
        <w:tc>
          <w:tcPr>
            <w:tcW w:w="230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Risk</w:t>
            </w:r>
          </w:p>
        </w:tc>
        <w:tc>
          <w:tcPr>
            <w:tcW w:w="90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Level</w:t>
            </w:r>
          </w:p>
        </w:tc>
        <w:tc>
          <w:tcPr>
            <w:tcW w:w="3519"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Primary Control</w:t>
            </w:r>
          </w:p>
        </w:tc>
        <w:tc>
          <w:tcPr>
            <w:tcW w:w="130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Owner</w:t>
            </w:r>
          </w:p>
        </w:tc>
        <w:tc>
          <w:tcPr>
            <w:tcW w:w="1001"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Residual</w:t>
            </w:r>
          </w:p>
        </w:tc>
      </w:tr>
      <w:tr>
        <w:trPr/>
        <w:tc>
          <w:tcPr>
            <w:tcW w:w="2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Rubric fills not available through standard Moodle Web Services</w:t>
            </w:r>
          </w:p>
        </w:tc>
        <w:tc>
          <w:tcPr>
            <w:tcW w:w="9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High</w:t>
            </w:r>
          </w:p>
        </w:tc>
        <w:tc>
          <w:tcPr>
            <w:tcW w:w="35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Least-privilege read-only SQL for the MVP behind an extraction interface; custom Moodle web-service plugin retained as stretch work.</w:t>
            </w:r>
          </w:p>
        </w:tc>
        <w:tc>
          <w:tcPr>
            <w:tcW w:w="1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sz w:val="20"/>
                <w:szCs w:val="20"/>
              </w:rPr>
              <w:t xml:space="preserve">T2 </w:t>
            </w:r>
            <w:r>
              <w:rPr>
                <w:sz w:val="20"/>
                <w:szCs w:val="20"/>
              </w:rPr>
              <w:t>— Extraction lead</w:t>
            </w:r>
          </w:p>
        </w:tc>
        <w:tc>
          <w:tcPr>
            <w:tcW w:w="10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Low</w:t>
            </w:r>
          </w:p>
        </w:tc>
      </w:tr>
      <w:tr>
        <w:trPr/>
        <w:tc>
          <w:tcPr>
            <w:tcW w:w="2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Project-owner dataset or decision delays</w:t>
            </w:r>
          </w:p>
        </w:tc>
        <w:tc>
          <w:tcPr>
            <w:tcW w:w="9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High</w:t>
            </w:r>
          </w:p>
        </w:tc>
        <w:tc>
          <w:tcPr>
            <w:tcW w:w="35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Develop against synthetic data and worked examples so delivery continues; open decisions logged and raised at the weekly owner meeting.</w:t>
            </w:r>
          </w:p>
        </w:tc>
        <w:tc>
          <w:tcPr>
            <w:tcW w:w="1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sz w:val="20"/>
                <w:szCs w:val="20"/>
              </w:rPr>
              <w:t xml:space="preserve">T3 - </w:t>
            </w:r>
            <w:r>
              <w:rPr>
                <w:sz w:val="20"/>
                <w:szCs w:val="20"/>
              </w:rPr>
              <w:t xml:space="preserve"> Scrum Master</w:t>
            </w:r>
          </w:p>
        </w:tc>
        <w:tc>
          <w:tcPr>
            <w:tcW w:w="10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Medium</w:t>
            </w:r>
          </w:p>
        </w:tc>
      </w:tr>
      <w:tr>
        <w:trPr/>
        <w:tc>
          <w:tcPr>
            <w:tcW w:w="2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LLM hallucination or unsupported recommendations</w:t>
            </w:r>
          </w:p>
        </w:tc>
        <w:tc>
          <w:tcPr>
            <w:tcW w:w="9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Very High</w:t>
            </w:r>
          </w:p>
        </w:tc>
        <w:tc>
          <w:tcPr>
            <w:tcW w:w="35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Ground every AI call in structured mark, rubric and gap data; prohibit invented marks or feedback; validate against a fixed test set with human review of samples each sprint.</w:t>
            </w:r>
          </w:p>
        </w:tc>
        <w:tc>
          <w:tcPr>
            <w:tcW w:w="13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val="false"/>
                <w:bCs w:val="false"/>
                <w:sz w:val="20"/>
                <w:szCs w:val="20"/>
                <w:shd w:fill="auto" w:val="clear"/>
              </w:rPr>
              <w:t>T1</w:t>
            </w:r>
            <w:r>
              <w:rPr>
                <w:sz w:val="20"/>
                <w:szCs w:val="20"/>
                <w:shd w:fill="auto" w:val="clear"/>
              </w:rPr>
              <w:t>— AI lead</w:t>
            </w:r>
          </w:p>
        </w:tc>
        <w:tc>
          <w:tcPr>
            <w:tcW w:w="10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Medium</w:t>
            </w:r>
          </w:p>
        </w:tc>
      </w:tr>
      <w:tr>
        <w:trPr/>
        <w:tc>
          <w:tcPr>
            <w:tcW w:w="2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Privacy or credential exposure</w:t>
            </w:r>
          </w:p>
        </w:tc>
        <w:tc>
          <w:tcPr>
            <w:tcW w:w="9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Very High</w:t>
            </w:r>
          </w:p>
        </w:tc>
        <w:tc>
          <w:tcPr>
            <w:tcW w:w="35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No real student data in the MVP; least-privilege tokens and database roles; secret scanning and dependency scanning in CI; documented security framework.</w:t>
            </w:r>
          </w:p>
        </w:tc>
        <w:tc>
          <w:tcPr>
            <w:tcW w:w="13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sz w:val="20"/>
                <w:szCs w:val="20"/>
                <w:shd w:fill="auto" w:val="clear"/>
              </w:rPr>
              <w:t>T4</w:t>
            </w:r>
            <w:r>
              <w:rPr>
                <w:sz w:val="20"/>
                <w:szCs w:val="20"/>
                <w:shd w:fill="auto" w:val="clear"/>
              </w:rPr>
              <w:t>— Security lead</w:t>
            </w:r>
          </w:p>
        </w:tc>
        <w:tc>
          <w:tcPr>
            <w:tcW w:w="10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Low</w:t>
            </w:r>
          </w:p>
        </w:tc>
      </w:tr>
      <w:tr>
        <w:trPr/>
        <w:tc>
          <w:tcPr>
            <w:tcW w:w="2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Scope creep or late feature requests</w:t>
            </w:r>
          </w:p>
        </w:tc>
        <w:tc>
          <w:tcPr>
            <w:tcW w:w="9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High</w:t>
            </w:r>
          </w:p>
        </w:tc>
        <w:tc>
          <w:tcPr>
            <w:tcW w:w="35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Must-have and nice-to-have prioritisation agreed with the owner, with a pre-agreed descope order; the dashboard and gap-detection core is protected.</w:t>
            </w:r>
          </w:p>
        </w:tc>
        <w:tc>
          <w:tcPr>
            <w:tcW w:w="13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val="false"/>
                <w:bCs w:val="false"/>
                <w:sz w:val="20"/>
                <w:szCs w:val="20"/>
                <w:shd w:fill="auto" w:val="clear"/>
              </w:rPr>
              <w:t>T2</w:t>
            </w:r>
            <w:r>
              <w:rPr>
                <w:b w:val="false"/>
                <w:bCs w:val="false"/>
                <w:sz w:val="20"/>
                <w:szCs w:val="20"/>
                <w:shd w:fill="auto" w:val="clear"/>
              </w:rPr>
              <w:t xml:space="preserve"> </w:t>
            </w:r>
            <w:r>
              <w:rPr>
                <w:sz w:val="20"/>
                <w:szCs w:val="20"/>
                <w:shd w:fill="auto" w:val="clear"/>
              </w:rPr>
              <w:t>— Product owner proxy</w:t>
            </w:r>
          </w:p>
        </w:tc>
        <w:tc>
          <w:tcPr>
            <w:tcW w:w="10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Low</w:t>
            </w:r>
          </w:p>
        </w:tc>
      </w:tr>
      <w:tr>
        <w:trPr/>
        <w:tc>
          <w:tcPr>
            <w:tcW w:w="2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Single-person technical dependency</w:t>
            </w:r>
          </w:p>
        </w:tc>
        <w:tc>
          <w:tcPr>
            <w:tcW w:w="9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Medium</w:t>
            </w:r>
          </w:p>
        </w:tc>
        <w:tc>
          <w:tcPr>
            <w:tcW w:w="35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Peer review, pairing, shared documentation and deliberate knowledge transfer across all six members; no component owned by only one person.</w:t>
            </w:r>
          </w:p>
        </w:tc>
        <w:tc>
          <w:tcPr>
            <w:tcW w:w="1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sz w:val="20"/>
                <w:szCs w:val="20"/>
              </w:rPr>
              <w:t>T1</w:t>
            </w:r>
            <w:r>
              <w:rPr>
                <w:sz w:val="20"/>
                <w:szCs w:val="20"/>
              </w:rPr>
              <w:t>— Scrum Master</w:t>
            </w:r>
          </w:p>
        </w:tc>
        <w:tc>
          <w:tcPr>
            <w:tcW w:w="10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Low</w:t>
            </w:r>
          </w:p>
        </w:tc>
      </w:tr>
      <w:tr>
        <w:trPr/>
        <w:tc>
          <w:tcPr>
            <w:tcW w:w="2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Integration defects between extraction, analytics and dashboard</w:t>
            </w:r>
          </w:p>
        </w:tc>
        <w:tc>
          <w:tcPr>
            <w:tcW w:w="9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High</w:t>
            </w:r>
          </w:p>
        </w:tc>
        <w:tc>
          <w:tcPr>
            <w:tcW w:w="35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Walking skeleton delivered early, integration testing every sprint, acceptance evidence required before Done.</w:t>
            </w:r>
          </w:p>
        </w:tc>
        <w:tc>
          <w:tcPr>
            <w:tcW w:w="13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val="false"/>
                <w:bCs w:val="false"/>
                <w:sz w:val="20"/>
                <w:szCs w:val="20"/>
                <w:shd w:fill="auto" w:val="clear"/>
              </w:rPr>
              <w:t>T2</w:t>
            </w:r>
            <w:r>
              <w:rPr>
                <w:b w:val="false"/>
                <w:bCs w:val="false"/>
                <w:sz w:val="20"/>
                <w:szCs w:val="20"/>
                <w:shd w:fill="auto" w:val="clear"/>
              </w:rPr>
              <w:t xml:space="preserve"> </w:t>
            </w:r>
            <w:r>
              <w:rPr>
                <w:sz w:val="20"/>
                <w:szCs w:val="20"/>
                <w:shd w:fill="auto" w:val="clear"/>
              </w:rPr>
              <w:t>— QA lead</w:t>
            </w:r>
          </w:p>
        </w:tc>
        <w:tc>
          <w:tcPr>
            <w:tcW w:w="10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Medium</w:t>
            </w:r>
          </w:p>
        </w:tc>
      </w:tr>
      <w:tr>
        <w:trPr/>
        <w:tc>
          <w:tcPr>
            <w:tcW w:w="2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Schedule underestimation</w:t>
            </w:r>
          </w:p>
        </w:tc>
        <w:tc>
          <w:tcPr>
            <w:tcW w:w="9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High</w:t>
            </w:r>
          </w:p>
        </w:tc>
        <w:tc>
          <w:tcPr>
            <w:tcW w:w="35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Track velocity and burndown in Jira, re-estimate each sprint, move non-critical features later; Sprint 6 held as contingency.</w:t>
            </w:r>
          </w:p>
        </w:tc>
        <w:tc>
          <w:tcPr>
            <w:tcW w:w="13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val="false"/>
                <w:bCs w:val="false"/>
                <w:sz w:val="20"/>
                <w:szCs w:val="20"/>
                <w:shd w:fill="auto" w:val="clear"/>
              </w:rPr>
              <w:t>T5</w:t>
            </w:r>
            <w:r>
              <w:rPr>
                <w:b w:val="false"/>
                <w:bCs w:val="false"/>
                <w:sz w:val="20"/>
                <w:szCs w:val="20"/>
                <w:shd w:fill="auto" w:val="clear"/>
              </w:rPr>
              <w:t xml:space="preserve"> </w:t>
            </w:r>
            <w:r>
              <w:rPr>
                <w:sz w:val="20"/>
                <w:szCs w:val="20"/>
                <w:shd w:fill="auto" w:val="clear"/>
              </w:rPr>
              <w:t>— Scrum Master</w:t>
            </w:r>
          </w:p>
        </w:tc>
        <w:tc>
          <w:tcPr>
            <w:tcW w:w="10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Medium</w:t>
            </w:r>
          </w:p>
        </w:tc>
      </w:tr>
    </w:tbl>
    <w:p>
      <w:pPr>
        <w:pStyle w:val="Heading1"/>
        <w:spacing w:before="320" w:after="160"/>
        <w:rPr/>
      </w:pPr>
      <w:r>
        <w:rPr>
          <w:b/>
          <w:bCs/>
          <w:color w:val="1F3864"/>
          <w:sz w:val="26"/>
          <w:szCs w:val="26"/>
        </w:rPr>
        <w:t>4  Project Evaluation Matrix</w:t>
      </w:r>
    </w:p>
    <w:tbl>
      <w:tblPr>
        <w:tblW w:w="9020" w:type="dxa"/>
        <w:jc w:val="left"/>
        <w:tblInd w:w="0" w:type="dxa"/>
        <w:tblLayout w:type="fixed"/>
        <w:tblCellMar>
          <w:top w:w="60" w:type="dxa"/>
          <w:left w:w="100" w:type="dxa"/>
          <w:bottom w:w="60" w:type="dxa"/>
          <w:right w:w="100" w:type="dxa"/>
        </w:tblCellMar>
      </w:tblPr>
      <w:tblGrid>
        <w:gridCol w:w="2199"/>
        <w:gridCol w:w="4200"/>
        <w:gridCol w:w="2621"/>
      </w:tblGrid>
      <w:tr>
        <w:trPr>
          <w:tblHeader w:val="true"/>
        </w:trPr>
        <w:tc>
          <w:tcPr>
            <w:tcW w:w="2199"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Evaluation Area</w:t>
            </w:r>
          </w:p>
        </w:tc>
        <w:tc>
          <w:tcPr>
            <w:tcW w:w="420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Target / Success Metric</w:t>
            </w:r>
          </w:p>
        </w:tc>
        <w:tc>
          <w:tcPr>
            <w:tcW w:w="2621"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Evidence</w:t>
            </w:r>
          </w:p>
        </w:tc>
      </w:tr>
      <w:tr>
        <w:trPr/>
        <w:tc>
          <w:tcPr>
            <w:tcW w:w="21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End-to-end MVP</w:t>
            </w:r>
          </w:p>
        </w:tc>
        <w:tc>
          <w:tcPr>
            <w:tcW w:w="42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At least one synthetic student and one subject flow from Moodle data through to mapped gap results and dashboard without manual re-entry.</w:t>
            </w:r>
          </w:p>
        </w:tc>
        <w:tc>
          <w:tcPr>
            <w:tcW w:w="26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Live demonstration plus integration test</w:t>
            </w:r>
          </w:p>
        </w:tc>
      </w:tr>
      <w:tr>
        <w:trPr/>
        <w:tc>
          <w:tcPr>
            <w:tcW w:w="21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Data extraction</w:t>
            </w:r>
          </w:p>
        </w:tc>
        <w:tc>
          <w:tcPr>
            <w:tcW w:w="42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Required course, grade, feedback and rubric-fill fields are extracted consistently; Moodle source tables are never modified.</w:t>
            </w:r>
          </w:p>
        </w:tc>
        <w:tc>
          <w:tcPr>
            <w:tcW w:w="26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Extraction logs plus reviewed SQL and API tests</w:t>
            </w:r>
          </w:p>
        </w:tc>
      </w:tr>
      <w:tr>
        <w:trPr/>
        <w:tc>
          <w:tcPr>
            <w:tcW w:w="21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Criterion-to-SILO mapping</w:t>
            </w:r>
          </w:p>
        </w:tc>
        <w:tc>
          <w:tcPr>
            <w:tcW w:w="42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100% of rubric criteria used in the demo are mapped to a SILO or explicitly flagged as unmapped for human review; mapping is semantic, not keyword-based.</w:t>
            </w:r>
          </w:p>
        </w:tc>
        <w:tc>
          <w:tcPr>
            <w:tcW w:w="26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Mapping report with adjudication traces</w:t>
            </w:r>
          </w:p>
        </w:tc>
      </w:tr>
      <w:tr>
        <w:trPr/>
        <w:tc>
          <w:tcPr>
            <w:tcW w:w="21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Gap-detection correctness</w:t>
            </w:r>
          </w:p>
        </w:tc>
        <w:tc>
          <w:tcPr>
            <w:tcW w:w="42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All agreed deterministic validation cases pass; calculated relative mastery and gap classifications match hand-checked expected results.</w:t>
            </w:r>
          </w:p>
        </w:tc>
        <w:tc>
          <w:tcPr>
            <w:tcW w:w="26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Unit tests plus validation worksheet</w:t>
            </w:r>
          </w:p>
        </w:tc>
      </w:tr>
      <w:tr>
        <w:trPr/>
        <w:tc>
          <w:tcPr>
            <w:tcW w:w="21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Dashboard completeness</w:t>
            </w:r>
          </w:p>
        </w:tc>
        <w:tc>
          <w:tcPr>
            <w:tcW w:w="42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Current understanding, strengths, gaps and progress views render correctly for all demo subjects; recommended next actions are visible and traceable.</w:t>
            </w:r>
          </w:p>
        </w:tc>
        <w:tc>
          <w:tcPr>
            <w:tcW w:w="26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UAT checklist plus screenshots</w:t>
            </w:r>
          </w:p>
        </w:tc>
      </w:tr>
      <w:tr>
        <w:trPr/>
        <w:tc>
          <w:tcPr>
            <w:tcW w:w="21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AI grounding</w:t>
            </w:r>
          </w:p>
        </w:tc>
        <w:tc>
          <w:tcPr>
            <w:tcW w:w="42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No invented marks or marker feedback in the validation set; every generated recommendation or quiz item is traceable to supplied gap and outcome data.</w:t>
            </w:r>
          </w:p>
        </w:tc>
        <w:tc>
          <w:tcPr>
            <w:tcW w:w="26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Prompt and output audit samples</w:t>
            </w:r>
          </w:p>
        </w:tc>
      </w:tr>
      <w:tr>
        <w:trPr/>
        <w:tc>
          <w:tcPr>
            <w:tcW w:w="21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Data export for longitudinal study</w:t>
            </w:r>
          </w:p>
        </w:tc>
        <w:tc>
          <w:tcPr>
            <w:tcW w:w="42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Structured export of per-student, per-outcome mastery and intervention data in a documented schema suitable for A/B and longitudinal analysis.</w:t>
            </w:r>
          </w:p>
        </w:tc>
        <w:tc>
          <w:tcPr>
            <w:tcW w:w="26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Export schema document plus sample extract</w:t>
            </w:r>
          </w:p>
        </w:tc>
      </w:tr>
      <w:tr>
        <w:trPr/>
        <w:tc>
          <w:tcPr>
            <w:tcW w:w="21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Quality assurance</w:t>
            </w:r>
          </w:p>
        </w:tc>
        <w:tc>
          <w:tcPr>
            <w:tcW w:w="42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All critical acceptance tests pass; core mapping and gap logic reaches at least 80% unit-test coverage.</w:t>
            </w:r>
          </w:p>
        </w:tc>
        <w:tc>
          <w:tcPr>
            <w:tcW w:w="26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CI test and coverage report</w:t>
            </w:r>
          </w:p>
        </w:tc>
      </w:tr>
      <w:tr>
        <w:trPr/>
        <w:tc>
          <w:tcPr>
            <w:tcW w:w="21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Security and privacy</w:t>
            </w:r>
          </w:p>
        </w:tc>
        <w:tc>
          <w:tcPr>
            <w:tcW w:w="42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Zero real student records; zero committed secrets; least-privilege access enforced; no unresolved high-severity findings before handover.</w:t>
            </w:r>
          </w:p>
        </w:tc>
        <w:tc>
          <w:tcPr>
            <w:tcW w:w="26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Security checklist plus repository scan output</w:t>
            </w:r>
          </w:p>
        </w:tc>
      </w:tr>
      <w:tr>
        <w:trPr/>
        <w:tc>
          <w:tcPr>
            <w:tcW w:w="21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Performance</w:t>
            </w:r>
          </w:p>
        </w:tc>
        <w:tc>
          <w:tcPr>
            <w:tcW w:w="42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Normal local dashboard interactions respond within approximately two seconds, excluding external LLM generation time.</w:t>
            </w:r>
          </w:p>
        </w:tc>
        <w:tc>
          <w:tcPr>
            <w:tcW w:w="26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Performance test log</w:t>
            </w:r>
          </w:p>
        </w:tc>
      </w:tr>
      <w:tr>
        <w:trPr/>
        <w:tc>
          <w:tcPr>
            <w:tcW w:w="21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Usability</w:t>
            </w:r>
          </w:p>
        </w:tc>
        <w:tc>
          <w:tcPr>
            <w:tcW w:w="42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Project-owner and team UAT completes all critical student tasks without a blocker and records improvement actions.</w:t>
            </w:r>
          </w:p>
        </w:tc>
        <w:tc>
          <w:tcPr>
            <w:tcW w:w="26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UAT and sprint-review notes</w:t>
            </w:r>
          </w:p>
        </w:tc>
      </w:tr>
      <w:tr>
        <w:trPr/>
        <w:tc>
          <w:tcPr>
            <w:tcW w:w="21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Process and maintainability</w:t>
            </w:r>
          </w:p>
        </w:tc>
        <w:tc>
          <w:tcPr>
            <w:tcW w:w="42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Every completed story carries acceptance evidence; merge-ready code is peer reviewed; setup and handover instructions reproduce the environment from a clean machine.</w:t>
            </w:r>
          </w:p>
        </w:tc>
        <w:tc>
          <w:tcPr>
            <w:tcW w:w="26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Jira and PR history plus README verification</w:t>
            </w:r>
          </w:p>
        </w:tc>
      </w:tr>
    </w:tbl>
    <w:p>
      <w:pPr>
        <w:pStyle w:val="Heading2"/>
        <w:spacing w:before="220" w:after="120"/>
        <w:rPr/>
      </w:pPr>
      <w:r>
        <w:rPr>
          <w:b/>
          <w:bCs/>
          <w:color w:val="1F3864"/>
          <w:sz w:val="22"/>
          <w:szCs w:val="22"/>
        </w:rPr>
        <w:t>Key Deliverables</w:t>
      </w:r>
    </w:p>
    <w:tbl>
      <w:tblPr>
        <w:tblW w:w="9020" w:type="dxa"/>
        <w:jc w:val="left"/>
        <w:tblInd w:w="0" w:type="dxa"/>
        <w:tblLayout w:type="fixed"/>
        <w:tblCellMar>
          <w:top w:w="60" w:type="dxa"/>
          <w:left w:w="100" w:type="dxa"/>
          <w:bottom w:w="60" w:type="dxa"/>
          <w:right w:w="100" w:type="dxa"/>
        </w:tblCellMar>
      </w:tblPr>
      <w:tblGrid>
        <w:gridCol w:w="2400"/>
        <w:gridCol w:w="1600"/>
        <w:gridCol w:w="5020"/>
      </w:tblGrid>
      <w:tr>
        <w:trPr>
          <w:tblHeader w:val="true"/>
        </w:trPr>
        <w:tc>
          <w:tcPr>
            <w:tcW w:w="240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Deliverable</w:t>
            </w:r>
          </w:p>
        </w:tc>
        <w:tc>
          <w:tcPr>
            <w:tcW w:w="160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Target Sprint</w:t>
            </w:r>
          </w:p>
        </w:tc>
        <w:tc>
          <w:tcPr>
            <w:tcW w:w="502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Definition of Completion</w:t>
            </w:r>
          </w:p>
        </w:tc>
      </w:tr>
      <w:tr>
        <w:trPr/>
        <w:tc>
          <w:tcPr>
            <w:tcW w:w="24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Local Moodle plus synthetic data environment</w:t>
            </w:r>
          </w:p>
        </w:tc>
        <w:tc>
          <w:tcPr>
            <w:tcW w:w="1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Sprint 1–2 (delivered)</w:t>
            </w:r>
          </w:p>
        </w:tc>
        <w:tc>
          <w:tcPr>
            <w:tcW w:w="5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Repeatable Dockerised setup with representative courses and students, and documented start and seed steps.</w:t>
            </w:r>
          </w:p>
        </w:tc>
      </w:tr>
      <w:tr>
        <w:trPr/>
        <w:tc>
          <w:tcPr>
            <w:tcW w:w="24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Moodle extraction plus competency mapping layer</w:t>
            </w:r>
          </w:p>
        </w:tc>
        <w:tc>
          <w:tcPr>
            <w:tcW w:w="1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Sprint 3</w:t>
            </w:r>
          </w:p>
        </w:tc>
        <w:tc>
          <w:tcPr>
            <w:tcW w:w="5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API and read-only SQL extraction works and rubric criteria are semantically mapped to SILOs with adjudication traces.</w:t>
            </w:r>
          </w:p>
        </w:tc>
      </w:tr>
      <w:tr>
        <w:trPr/>
        <w:tc>
          <w:tcPr>
            <w:tcW w:w="24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Gap-detection engine</w:t>
            </w:r>
          </w:p>
        </w:tc>
        <w:tc>
          <w:tcPr>
            <w:tcW w:w="1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Sprint 4</w:t>
            </w:r>
          </w:p>
        </w:tc>
        <w:tc>
          <w:tcPr>
            <w:tcW w:w="5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Per-outcome relative mastery and isolated or persistent gaps calculated and validated against hand-checked cases.</w:t>
            </w:r>
          </w:p>
        </w:tc>
      </w:tr>
      <w:tr>
        <w:trPr/>
        <w:tc>
          <w:tcPr>
            <w:tcW w:w="24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Visual mastery dashboard</w:t>
            </w:r>
          </w:p>
        </w:tc>
        <w:tc>
          <w:tcPr>
            <w:tcW w:w="1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Sprint 4–5</w:t>
            </w:r>
          </w:p>
        </w:tc>
        <w:tc>
          <w:tcPr>
            <w:tcW w:w="5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Student can view mastery, strengths, gaps, progress and recommended next actions.</w:t>
            </w:r>
          </w:p>
        </w:tc>
      </w:tr>
      <w:tr>
        <w:trPr/>
        <w:tc>
          <w:tcPr>
            <w:tcW w:w="24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Grounded personalised learning support</w:t>
            </w:r>
          </w:p>
        </w:tc>
        <w:tc>
          <w:tcPr>
            <w:tcW w:w="1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Sprint 5</w:t>
            </w:r>
          </w:p>
        </w:tc>
        <w:tc>
          <w:tcPr>
            <w:tcW w:w="5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Learning plan and study recommendations are generated from structured gap data and pass grounding checks.</w:t>
            </w:r>
          </w:p>
        </w:tc>
      </w:tr>
      <w:tr>
        <w:trPr/>
        <w:tc>
          <w:tcPr>
            <w:tcW w:w="24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Longitudinal data export</w:t>
            </w:r>
          </w:p>
        </w:tc>
        <w:tc>
          <w:tcPr>
            <w:tcW w:w="1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Sprint 5</w:t>
            </w:r>
          </w:p>
        </w:tc>
        <w:tc>
          <w:tcPr>
            <w:tcW w:w="5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Documented export schema and working extract supporting A/B and longitudinal evaluation.</w:t>
            </w:r>
          </w:p>
        </w:tc>
      </w:tr>
      <w:tr>
        <w:trPr/>
        <w:tc>
          <w:tcPr>
            <w:tcW w:w="24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Adaptive quiz</w:t>
            </w:r>
          </w:p>
        </w:tc>
        <w:tc>
          <w:tcPr>
            <w:tcW w:w="1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Sprint 5–6</w:t>
            </w:r>
          </w:p>
        </w:tc>
        <w:tc>
          <w:tcPr>
            <w:tcW w:w="5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Quiz items align to identified gaps and provide feedback. First descope candidate if the schedule slips.</w:t>
            </w:r>
          </w:p>
        </w:tc>
      </w:tr>
      <w:tr>
        <w:trPr/>
        <w:tc>
          <w:tcPr>
            <w:tcW w:w="24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QA, security, documentation and final handover</w:t>
            </w:r>
          </w:p>
        </w:tc>
        <w:tc>
          <w:tcPr>
            <w:tcW w:w="1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Sprint 6</w:t>
            </w:r>
          </w:p>
        </w:tc>
        <w:tc>
          <w:tcPr>
            <w:tcW w:w="5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Acceptance testing complete, security evidence produced, setup and maintenance documentation written, final demonstration delivered and handover package accepted.</w:t>
            </w:r>
          </w:p>
        </w:tc>
      </w:tr>
    </w:tbl>
    <w:p>
      <w:pPr>
        <w:pStyle w:val="Heading1"/>
        <w:spacing w:before="320" w:after="160"/>
        <w:rPr/>
      </w:pPr>
      <w:r>
        <w:rPr>
          <w:b/>
          <w:bCs/>
          <w:color w:val="1F3864"/>
          <w:sz w:val="26"/>
          <w:szCs w:val="26"/>
        </w:rPr>
        <w:t>5  Tender Evaluation Criteria and Requirements</w:t>
      </w:r>
    </w:p>
    <w:p>
      <w:pPr>
        <w:pStyle w:val="Normal"/>
        <w:spacing w:before="0" w:after="120"/>
        <w:rPr/>
      </w:pPr>
      <w:r>
        <w:rPr>
          <w:sz w:val="20"/>
          <w:szCs w:val="20"/>
        </w:rPr>
        <w:t>The following requirements have been derived from the recorded project-owner requirements meeting and will be used to evaluate the proposed Learning Journey Assistant MVP. Each requirement states how the team will demonstrate that it has been met.</w:t>
      </w:r>
    </w:p>
    <w:tbl>
      <w:tblPr>
        <w:tblW w:w="9020" w:type="dxa"/>
        <w:jc w:val="left"/>
        <w:tblInd w:w="0" w:type="dxa"/>
        <w:tblLayout w:type="fixed"/>
        <w:tblCellMar>
          <w:top w:w="60" w:type="dxa"/>
          <w:left w:w="100" w:type="dxa"/>
          <w:bottom w:w="60" w:type="dxa"/>
          <w:right w:w="100" w:type="dxa"/>
        </w:tblCellMar>
      </w:tblPr>
      <w:tblGrid>
        <w:gridCol w:w="499"/>
        <w:gridCol w:w="3600"/>
        <w:gridCol w:w="1301"/>
        <w:gridCol w:w="3619"/>
      </w:tblGrid>
      <w:tr>
        <w:trPr>
          <w:tblHeader w:val="true"/>
        </w:trPr>
        <w:tc>
          <w:tcPr>
            <w:tcW w:w="499"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No</w:t>
            </w:r>
          </w:p>
        </w:tc>
        <w:tc>
          <w:tcPr>
            <w:tcW w:w="360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Requirement</w:t>
            </w:r>
          </w:p>
        </w:tc>
        <w:tc>
          <w:tcPr>
            <w:tcW w:w="1301"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Importance</w:t>
            </w:r>
          </w:p>
        </w:tc>
        <w:tc>
          <w:tcPr>
            <w:tcW w:w="3619"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How it will be evaluated</w:t>
            </w:r>
          </w:p>
        </w:tc>
      </w:tr>
      <w:tr>
        <w:trPr/>
        <w:tc>
          <w:tcPr>
            <w:tcW w:w="4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1</w:t>
            </w:r>
          </w:p>
        </w:tc>
        <w:tc>
          <w:tcPr>
            <w:tcW w:w="3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Secure, repeatable extraction of assessment, rubric-fill and feedback data from Moodle without modifying source records.</w:t>
            </w:r>
          </w:p>
        </w:tc>
        <w:tc>
          <w:tcPr>
            <w:tcW w:w="13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Very High</w:t>
            </w:r>
          </w:p>
        </w:tc>
        <w:tc>
          <w:tcPr>
            <w:tcW w:w="36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Extraction test suite run against a clean environment; database role proven read-only; before-and-after checksum on Moodle tables.</w:t>
            </w:r>
          </w:p>
        </w:tc>
      </w:tr>
      <w:tr>
        <w:trPr/>
        <w:tc>
          <w:tcPr>
            <w:tcW w:w="4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2</w:t>
            </w:r>
          </w:p>
        </w:tc>
        <w:tc>
          <w:tcPr>
            <w:tcW w:w="3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Semantic linking of rubric criteria to Subject Intended Learning Outcomes using embeddings with LLM adjudication. Keyword matching is explicitly excluded as a production mechanism.</w:t>
            </w:r>
          </w:p>
        </w:tc>
        <w:tc>
          <w:tcPr>
            <w:tcW w:w="13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Very High</w:t>
            </w:r>
          </w:p>
        </w:tc>
        <w:tc>
          <w:tcPr>
            <w:tcW w:w="36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Mapping report showing similarity scores and adjudication rationale per criterion; unmapped items flagged rather than silently dropped.</w:t>
            </w:r>
          </w:p>
        </w:tc>
      </w:tr>
      <w:tr>
        <w:trPr/>
        <w:tc>
          <w:tcPr>
            <w:tcW w:w="4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3</w:t>
            </w:r>
          </w:p>
        </w:tc>
        <w:tc>
          <w:tcPr>
            <w:tcW w:w="3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Clustering of outcomes into competency groups spanning multiple subjects.</w:t>
            </w:r>
          </w:p>
        </w:tc>
        <w:tc>
          <w:tcPr>
            <w:tcW w:w="13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High</w:t>
            </w:r>
          </w:p>
        </w:tc>
        <w:tc>
          <w:tcPr>
            <w:tcW w:w="36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Cluster labels reviewed with the project owner; stability checked across repeated runs.</w:t>
            </w:r>
          </w:p>
        </w:tc>
      </w:tr>
      <w:tr>
        <w:trPr/>
        <w:tc>
          <w:tcPr>
            <w:tcW w:w="4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4</w:t>
            </w:r>
          </w:p>
        </w:tc>
        <w:tc>
          <w:tcPr>
            <w:tcW w:w="3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Relative competency gap detection based on variability within an individual student's profile rather than raw pass or fail thresholds.</w:t>
            </w:r>
          </w:p>
        </w:tc>
        <w:tc>
          <w:tcPr>
            <w:tcW w:w="13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Very High</w:t>
            </w:r>
          </w:p>
        </w:tc>
        <w:tc>
          <w:tcPr>
            <w:tcW w:w="36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Deterministic validation cases with hand-calculated expected results; sensitivity check across synthetic profiles.</w:t>
            </w:r>
          </w:p>
        </w:tc>
      </w:tr>
      <w:tr>
        <w:trPr/>
        <w:tc>
          <w:tcPr>
            <w:tcW w:w="4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5</w:t>
            </w:r>
          </w:p>
        </w:tc>
        <w:tc>
          <w:tcPr>
            <w:tcW w:w="3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Student dashboard presenting current understanding, strengths, gaps, progress and recommended next actions.</w:t>
            </w:r>
          </w:p>
        </w:tc>
        <w:tc>
          <w:tcPr>
            <w:tcW w:w="13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Very High</w:t>
            </w:r>
          </w:p>
        </w:tc>
        <w:tc>
          <w:tcPr>
            <w:tcW w:w="36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UAT checklist completed by project owner and team; every displayed figure traceable to a source record.</w:t>
            </w:r>
          </w:p>
        </w:tc>
      </w:tr>
      <w:tr>
        <w:trPr/>
        <w:tc>
          <w:tcPr>
            <w:tcW w:w="4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6</w:t>
            </w:r>
          </w:p>
        </w:tc>
        <w:tc>
          <w:tcPr>
            <w:tcW w:w="3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Grounded, explainable AI output. No invented marks, feedback or academic claims.</w:t>
            </w:r>
          </w:p>
        </w:tc>
        <w:tc>
          <w:tcPr>
            <w:tcW w:w="13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Very High</w:t>
            </w:r>
          </w:p>
        </w:tc>
        <w:tc>
          <w:tcPr>
            <w:tcW w:w="36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Prompt and output audit on a fixed validation set; grounding assertion tests in CI.</w:t>
            </w:r>
          </w:p>
        </w:tc>
      </w:tr>
      <w:tr>
        <w:trPr/>
        <w:tc>
          <w:tcPr>
            <w:tcW w:w="4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7</w:t>
            </w:r>
          </w:p>
        </w:tc>
        <w:tc>
          <w:tcPr>
            <w:tcW w:w="3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Structured data export supporting longitudinal and A/B evaluation of the intervention.</w:t>
            </w:r>
          </w:p>
        </w:tc>
        <w:tc>
          <w:tcPr>
            <w:tcW w:w="13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Mandatory</w:t>
            </w:r>
          </w:p>
        </w:tc>
        <w:tc>
          <w:tcPr>
            <w:tcW w:w="36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Documented export schema plus a sample extract loaded into an analysis notebook.</w:t>
            </w:r>
          </w:p>
        </w:tc>
      </w:tr>
      <w:tr>
        <w:trPr/>
        <w:tc>
          <w:tcPr>
            <w:tcW w:w="4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8</w:t>
            </w:r>
          </w:p>
        </w:tc>
        <w:tc>
          <w:tcPr>
            <w:tcW w:w="3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Adaptive quiz generation targeted at identified gaps.</w:t>
            </w:r>
          </w:p>
        </w:tc>
        <w:tc>
          <w:tcPr>
            <w:tcW w:w="13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Medium</w:t>
            </w:r>
          </w:p>
        </w:tc>
        <w:tc>
          <w:tcPr>
            <w:tcW w:w="36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Generated items reviewed for alignment to the triggering gap; feedback text present for each item.</w:t>
            </w:r>
          </w:p>
        </w:tc>
      </w:tr>
      <w:tr>
        <w:trPr/>
        <w:tc>
          <w:tcPr>
            <w:tcW w:w="4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9</w:t>
            </w:r>
          </w:p>
        </w:tc>
        <w:tc>
          <w:tcPr>
            <w:tcW w:w="3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Privacy-compliant MVP: synthetic data only, least-privilege access, no committed secrets.</w:t>
            </w:r>
          </w:p>
        </w:tc>
        <w:tc>
          <w:tcPr>
            <w:tcW w:w="13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Mandatory</w:t>
            </w:r>
          </w:p>
        </w:tc>
        <w:tc>
          <w:tcPr>
            <w:tcW w:w="36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Named security framework applied; automated secret and dependency scanning in CI with zero unresolved high-severity findings.</w:t>
            </w:r>
          </w:p>
        </w:tc>
      </w:tr>
      <w:tr>
        <w:trPr/>
        <w:tc>
          <w:tcPr>
            <w:tcW w:w="4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10</w:t>
            </w:r>
          </w:p>
        </w:tc>
        <w:tc>
          <w:tcPr>
            <w:tcW w:w="3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LLM provider abstraction so the backend can be changed to satisfy institutional data-governance constraints.</w:t>
            </w:r>
          </w:p>
        </w:tc>
        <w:tc>
          <w:tcPr>
            <w:tcW w:w="13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High</w:t>
            </w:r>
          </w:p>
        </w:tc>
        <w:tc>
          <w:tcPr>
            <w:tcW w:w="36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Provider swapped in test to demonstrate the interface holds; no provider-specific code outside the adapter.</w:t>
            </w:r>
          </w:p>
        </w:tc>
      </w:tr>
      <w:tr>
        <w:trPr/>
        <w:tc>
          <w:tcPr>
            <w:tcW w:w="4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11</w:t>
            </w:r>
          </w:p>
        </w:tc>
        <w:tc>
          <w:tcPr>
            <w:tcW w:w="3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Reproducible handover: environment, documentation and code base rebuildable by a third party.</w:t>
            </w:r>
          </w:p>
        </w:tc>
        <w:tc>
          <w:tcPr>
            <w:tcW w:w="13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Mandatory</w:t>
            </w:r>
          </w:p>
        </w:tc>
        <w:tc>
          <w:tcPr>
            <w:tcW w:w="36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Clean-machine rebuild performed from the README by a member who did not write it.</w:t>
            </w:r>
          </w:p>
        </w:tc>
      </w:tr>
      <w:tr>
        <w:trPr/>
        <w:tc>
          <w:tcPr>
            <w:tcW w:w="4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12</w:t>
            </w:r>
          </w:p>
        </w:tc>
        <w:tc>
          <w:tcPr>
            <w:tcW w:w="3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Report critiquing SILO quality and coverage across the supplied subjects.</w:t>
            </w:r>
          </w:p>
        </w:tc>
        <w:tc>
          <w:tcPr>
            <w:tcW w:w="13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Nice to have</w:t>
            </w:r>
          </w:p>
        </w:tc>
        <w:tc>
          <w:tcPr>
            <w:tcW w:w="36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Report reviewed with the project owner; findings traceable to mapping evidence.</w:t>
            </w:r>
          </w:p>
        </w:tc>
      </w:tr>
    </w:tbl>
    <w:p>
      <w:pPr>
        <w:pStyle w:val="Heading2"/>
        <w:spacing w:before="220" w:after="120"/>
        <w:rPr/>
      </w:pPr>
      <w:r>
        <w:rPr>
          <w:b/>
          <w:bCs/>
          <w:color w:val="1F3864"/>
          <w:sz w:val="22"/>
          <w:szCs w:val="22"/>
        </w:rPr>
        <w:t>Weighted Evaluation Criteria</w:t>
      </w:r>
    </w:p>
    <w:tbl>
      <w:tblPr>
        <w:tblW w:w="9020" w:type="dxa"/>
        <w:jc w:val="left"/>
        <w:tblInd w:w="0" w:type="dxa"/>
        <w:tblLayout w:type="fixed"/>
        <w:tblCellMar>
          <w:top w:w="60" w:type="dxa"/>
          <w:left w:w="100" w:type="dxa"/>
          <w:bottom w:w="60" w:type="dxa"/>
          <w:right w:w="100" w:type="dxa"/>
        </w:tblCellMar>
      </w:tblPr>
      <w:tblGrid>
        <w:gridCol w:w="499"/>
        <w:gridCol w:w="6521"/>
        <w:gridCol w:w="2000"/>
      </w:tblGrid>
      <w:tr>
        <w:trPr>
          <w:tblHeader w:val="true"/>
        </w:trPr>
        <w:tc>
          <w:tcPr>
            <w:tcW w:w="499"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No</w:t>
            </w:r>
          </w:p>
        </w:tc>
        <w:tc>
          <w:tcPr>
            <w:tcW w:w="6521"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Criteria</w:t>
            </w:r>
          </w:p>
        </w:tc>
        <w:tc>
          <w:tcPr>
            <w:tcW w:w="200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Weighting</w:t>
            </w:r>
          </w:p>
        </w:tc>
      </w:tr>
      <w:tr>
        <w:trPr/>
        <w:tc>
          <w:tcPr>
            <w:tcW w:w="4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1</w:t>
            </w:r>
          </w:p>
        </w:tc>
        <w:tc>
          <w:tcPr>
            <w:tcW w:w="65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Functional completeness: Moodle-to-dashboard workflow, gap detection, export and required student views.</w:t>
            </w:r>
          </w:p>
        </w:tc>
        <w:tc>
          <w:tcPr>
            <w:tcW w:w="20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30%</w:t>
            </w:r>
          </w:p>
        </w:tc>
      </w:tr>
      <w:tr>
        <w:trPr/>
        <w:tc>
          <w:tcPr>
            <w:tcW w:w="4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2</w:t>
            </w:r>
          </w:p>
        </w:tc>
        <w:tc>
          <w:tcPr>
            <w:tcW w:w="65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Accuracy and AI grounding: correct semantic mapping and gap calculation, relevant recommendations, no invented academic data.</w:t>
            </w:r>
          </w:p>
        </w:tc>
        <w:tc>
          <w:tcPr>
            <w:tcW w:w="20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25%</w:t>
            </w:r>
          </w:p>
        </w:tc>
      </w:tr>
      <w:tr>
        <w:trPr/>
        <w:tc>
          <w:tcPr>
            <w:tcW w:w="4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3</w:t>
            </w:r>
          </w:p>
        </w:tc>
        <w:tc>
          <w:tcPr>
            <w:tcW w:w="65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Security, privacy and quality: least privilege, synthetic data, testing, CI and risk controls.</w:t>
            </w:r>
          </w:p>
        </w:tc>
        <w:tc>
          <w:tcPr>
            <w:tcW w:w="20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25%</w:t>
            </w:r>
          </w:p>
        </w:tc>
      </w:tr>
      <w:tr>
        <w:trPr/>
        <w:tc>
          <w:tcPr>
            <w:tcW w:w="4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4</w:t>
            </w:r>
          </w:p>
        </w:tc>
        <w:tc>
          <w:tcPr>
            <w:tcW w:w="65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Usability, maintainability and handover quality: clear UX, documentation and reproducibility.</w:t>
            </w:r>
          </w:p>
        </w:tc>
        <w:tc>
          <w:tcPr>
            <w:tcW w:w="20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20%</w:t>
            </w:r>
          </w:p>
        </w:tc>
      </w:tr>
    </w:tbl>
    <w:p>
      <w:pPr>
        <w:pStyle w:val="Heading1"/>
        <w:spacing w:before="320" w:after="160"/>
        <w:rPr/>
      </w:pPr>
      <w:r>
        <w:rPr>
          <w:b/>
          <w:bCs/>
          <w:color w:val="1F3864"/>
          <w:sz w:val="26"/>
          <w:szCs w:val="26"/>
        </w:rPr>
        <w:t>6  Price and Budget</w:t>
      </w:r>
    </w:p>
    <w:p>
      <w:pPr>
        <w:pStyle w:val="Normal"/>
        <w:spacing w:before="0" w:after="120"/>
        <w:rPr/>
      </w:pPr>
      <w:r>
        <w:rPr>
          <w:sz w:val="20"/>
          <w:szCs w:val="20"/>
        </w:rPr>
        <w:t>The solution is built on free-tier and open-source components, so the dominant cost is human resource. Labour is costed at the Australian graduate / postgraduate rate of $49.20 per hour. Sprints 1 and 2 are actuals baselined from recorded Jira effort; Sprints 3 to 6 are forecast from that baseline.</w:t>
      </w:r>
    </w:p>
    <w:p>
      <w:pPr>
        <w:pStyle w:val="Normal"/>
        <w:spacing w:before="0" w:after="120"/>
        <w:rPr>
          <w:b/>
          <w:bCs/>
          <w:sz w:val="20"/>
          <w:szCs w:val="20"/>
          <w:highlight w:val="yellow"/>
        </w:rPr>
      </w:pPr>
      <w:r>
        <w:rPr/>
      </w:r>
    </w:p>
    <w:tbl>
      <w:tblPr>
        <w:tblW w:w="9020" w:type="dxa"/>
        <w:jc w:val="left"/>
        <w:tblInd w:w="0" w:type="dxa"/>
        <w:tblLayout w:type="fixed"/>
        <w:tblCellMar>
          <w:top w:w="60" w:type="dxa"/>
          <w:left w:w="100" w:type="dxa"/>
          <w:bottom w:w="60" w:type="dxa"/>
          <w:right w:w="100" w:type="dxa"/>
        </w:tblCellMar>
      </w:tblPr>
      <w:tblGrid>
        <w:gridCol w:w="1299"/>
        <w:gridCol w:w="1400"/>
        <w:gridCol w:w="1101"/>
        <w:gridCol w:w="1600"/>
        <w:gridCol w:w="3620"/>
      </w:tblGrid>
      <w:tr>
        <w:trPr>
          <w:tblHeader w:val="true"/>
        </w:trPr>
        <w:tc>
          <w:tcPr>
            <w:tcW w:w="1299"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Sprint</w:t>
            </w:r>
          </w:p>
        </w:tc>
        <w:tc>
          <w:tcPr>
            <w:tcW w:w="140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Team hours</w:t>
            </w:r>
          </w:p>
        </w:tc>
        <w:tc>
          <w:tcPr>
            <w:tcW w:w="1101"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Rate</w:t>
            </w:r>
          </w:p>
        </w:tc>
        <w:tc>
          <w:tcPr>
            <w:tcW w:w="160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Cost</w:t>
            </w:r>
          </w:p>
        </w:tc>
        <w:tc>
          <w:tcPr>
            <w:tcW w:w="362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Basis</w:t>
            </w:r>
          </w:p>
        </w:tc>
      </w:tr>
      <w:tr>
        <w:trPr/>
        <w:tc>
          <w:tcPr>
            <w:tcW w:w="12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Sprint 1 (actual)</w:t>
            </w:r>
          </w:p>
        </w:tc>
        <w:tc>
          <w:tcPr>
            <w:tcW w:w="14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bCs/>
                <w:sz w:val="20"/>
                <w:szCs w:val="20"/>
                <w:shd w:fill="auto" w:val="clear"/>
              </w:rPr>
              <w:t>40</w:t>
            </w:r>
          </w:p>
        </w:tc>
        <w:tc>
          <w:tcPr>
            <w:tcW w:w="11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$49.20</w:t>
            </w:r>
          </w:p>
        </w:tc>
        <w:tc>
          <w:tcPr>
            <w:tcW w:w="16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bCs/>
                <w:sz w:val="20"/>
                <w:szCs w:val="20"/>
                <w:shd w:fill="auto" w:val="clear"/>
              </w:rPr>
              <w:t>$1968</w:t>
            </w:r>
          </w:p>
        </w:tc>
        <w:tc>
          <w:tcPr>
            <w:tcW w:w="36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Recorded Jira effort. Environment setup, spikes and requirements capture.</w:t>
            </w:r>
          </w:p>
        </w:tc>
      </w:tr>
      <w:tr>
        <w:trPr/>
        <w:tc>
          <w:tcPr>
            <w:tcW w:w="12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Sprint 2 (actual)</w:t>
            </w:r>
          </w:p>
        </w:tc>
        <w:tc>
          <w:tcPr>
            <w:tcW w:w="14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bCs/>
                <w:sz w:val="20"/>
                <w:szCs w:val="20"/>
                <w:shd w:fill="auto" w:val="clear"/>
              </w:rPr>
              <w:t>40</w:t>
            </w:r>
          </w:p>
        </w:tc>
        <w:tc>
          <w:tcPr>
            <w:tcW w:w="11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$49.20</w:t>
            </w:r>
          </w:p>
        </w:tc>
        <w:tc>
          <w:tcPr>
            <w:tcW w:w="16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bCs/>
                <w:sz w:val="20"/>
                <w:szCs w:val="20"/>
                <w:shd w:fill="auto" w:val="clear"/>
              </w:rPr>
              <w:t>$1968</w:t>
            </w:r>
          </w:p>
        </w:tc>
        <w:tc>
          <w:tcPr>
            <w:tcW w:w="36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Recorded Jira effort. Extraction spike, trade show preparation and tender.</w:t>
            </w:r>
          </w:p>
        </w:tc>
      </w:tr>
      <w:tr>
        <w:trPr/>
        <w:tc>
          <w:tcPr>
            <w:tcW w:w="12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Sprint 3 (forecast)</w:t>
            </w:r>
          </w:p>
        </w:tc>
        <w:tc>
          <w:tcPr>
            <w:tcW w:w="14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bCs/>
                <w:sz w:val="20"/>
                <w:szCs w:val="20"/>
                <w:shd w:fill="auto" w:val="clear"/>
              </w:rPr>
              <w:t>40</w:t>
            </w:r>
          </w:p>
        </w:tc>
        <w:tc>
          <w:tcPr>
            <w:tcW w:w="11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$49.20</w:t>
            </w:r>
          </w:p>
        </w:tc>
        <w:tc>
          <w:tcPr>
            <w:tcW w:w="16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bCs/>
                <w:sz w:val="20"/>
                <w:szCs w:val="20"/>
                <w:shd w:fill="auto" w:val="clear"/>
              </w:rPr>
              <w:t>$1968</w:t>
            </w:r>
          </w:p>
        </w:tc>
        <w:tc>
          <w:tcPr>
            <w:tcW w:w="36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Forecast from the Sprint 1–2 baseline. Extraction and semantic mapping layer.</w:t>
            </w:r>
          </w:p>
        </w:tc>
      </w:tr>
      <w:tr>
        <w:trPr/>
        <w:tc>
          <w:tcPr>
            <w:tcW w:w="12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Sprint 4 (forecast)</w:t>
            </w:r>
          </w:p>
        </w:tc>
        <w:tc>
          <w:tcPr>
            <w:tcW w:w="14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bCs/>
                <w:sz w:val="20"/>
                <w:szCs w:val="20"/>
                <w:shd w:fill="auto" w:val="clear"/>
              </w:rPr>
              <w:t>40</w:t>
            </w:r>
          </w:p>
        </w:tc>
        <w:tc>
          <w:tcPr>
            <w:tcW w:w="11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$49.20</w:t>
            </w:r>
          </w:p>
        </w:tc>
        <w:tc>
          <w:tcPr>
            <w:tcW w:w="16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bCs/>
                <w:sz w:val="20"/>
                <w:szCs w:val="20"/>
                <w:shd w:fill="auto" w:val="clear"/>
              </w:rPr>
              <w:t>$1968</w:t>
            </w:r>
          </w:p>
        </w:tc>
        <w:tc>
          <w:tcPr>
            <w:tcW w:w="36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Forecast. Gap engine and first dashboard slice; peak development load.</w:t>
            </w:r>
          </w:p>
        </w:tc>
      </w:tr>
      <w:tr>
        <w:trPr/>
        <w:tc>
          <w:tcPr>
            <w:tcW w:w="12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Sprint 5 (forecast)</w:t>
            </w:r>
          </w:p>
        </w:tc>
        <w:tc>
          <w:tcPr>
            <w:tcW w:w="14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bCs/>
                <w:sz w:val="20"/>
                <w:szCs w:val="20"/>
                <w:shd w:fill="auto" w:val="clear"/>
              </w:rPr>
              <w:t>40</w:t>
            </w:r>
          </w:p>
        </w:tc>
        <w:tc>
          <w:tcPr>
            <w:tcW w:w="11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$49.20</w:t>
            </w:r>
          </w:p>
        </w:tc>
        <w:tc>
          <w:tcPr>
            <w:tcW w:w="16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bCs/>
                <w:sz w:val="20"/>
                <w:szCs w:val="20"/>
                <w:shd w:fill="auto" w:val="clear"/>
              </w:rPr>
              <w:t>$1968</w:t>
            </w:r>
          </w:p>
        </w:tc>
        <w:tc>
          <w:tcPr>
            <w:tcW w:w="36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Forecast. Learning plan, export and quiz capability.</w:t>
            </w:r>
          </w:p>
        </w:tc>
      </w:tr>
      <w:tr>
        <w:trPr/>
        <w:tc>
          <w:tcPr>
            <w:tcW w:w="12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Sprint 6 (forecast)</w:t>
            </w:r>
          </w:p>
        </w:tc>
        <w:tc>
          <w:tcPr>
            <w:tcW w:w="14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bCs/>
                <w:sz w:val="20"/>
                <w:szCs w:val="20"/>
                <w:shd w:fill="auto" w:val="clear"/>
              </w:rPr>
              <w:t>40</w:t>
            </w:r>
          </w:p>
        </w:tc>
        <w:tc>
          <w:tcPr>
            <w:tcW w:w="11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$49.20</w:t>
            </w:r>
          </w:p>
        </w:tc>
        <w:tc>
          <w:tcPr>
            <w:tcW w:w="16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bCs/>
                <w:sz w:val="20"/>
                <w:szCs w:val="20"/>
                <w:shd w:fill="auto" w:val="clear"/>
              </w:rPr>
              <w:t>$1968</w:t>
            </w:r>
          </w:p>
        </w:tc>
        <w:tc>
          <w:tcPr>
            <w:tcW w:w="36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Forecast, held partly as contingency. QA, security, documentation and handover.</w:t>
            </w:r>
          </w:p>
        </w:tc>
      </w:tr>
      <w:tr>
        <w:trPr/>
        <w:tc>
          <w:tcPr>
            <w:tcW w:w="12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Total labour</w:t>
            </w:r>
          </w:p>
        </w:tc>
        <w:tc>
          <w:tcPr>
            <w:tcW w:w="14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bCs/>
                <w:sz w:val="20"/>
                <w:szCs w:val="20"/>
                <w:shd w:fill="auto" w:val="clear"/>
              </w:rPr>
              <w:t>240</w:t>
            </w:r>
          </w:p>
        </w:tc>
        <w:tc>
          <w:tcPr>
            <w:tcW w:w="110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w:t>
            </w:r>
          </w:p>
        </w:tc>
        <w:tc>
          <w:tcPr>
            <w:tcW w:w="16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bCs/>
                <w:sz w:val="20"/>
                <w:szCs w:val="20"/>
                <w:shd w:fill="auto" w:val="clear"/>
              </w:rPr>
              <w:t>$11808</w:t>
            </w:r>
          </w:p>
        </w:tc>
        <w:tc>
          <w:tcPr>
            <w:tcW w:w="36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Six-person team at approximately 15 hours per member per week.</w:t>
            </w:r>
          </w:p>
        </w:tc>
      </w:tr>
    </w:tbl>
    <w:p>
      <w:pPr>
        <w:pStyle w:val="Normal"/>
        <w:spacing w:before="0" w:after="120"/>
        <w:rPr/>
      </w:pPr>
      <w:r>
        <w:rPr/>
      </w:r>
    </w:p>
    <w:p>
      <w:pPr>
        <w:pStyle w:val="Normal"/>
        <w:spacing w:before="0" w:after="120"/>
        <w:rPr/>
      </w:pPr>
      <w:r>
        <w:rPr>
          <w:sz w:val="20"/>
          <w:szCs w:val="20"/>
        </w:rPr>
        <w:t>Non-labour costs, including items foreshadowed for a future production deployment:</w:t>
      </w:r>
    </w:p>
    <w:tbl>
      <w:tblPr>
        <w:tblW w:w="9020" w:type="dxa"/>
        <w:jc w:val="left"/>
        <w:tblInd w:w="0" w:type="dxa"/>
        <w:tblLayout w:type="fixed"/>
        <w:tblCellMar>
          <w:top w:w="60" w:type="dxa"/>
          <w:left w:w="100" w:type="dxa"/>
          <w:bottom w:w="60" w:type="dxa"/>
          <w:right w:w="100" w:type="dxa"/>
        </w:tblCellMar>
      </w:tblPr>
      <w:tblGrid>
        <w:gridCol w:w="4000"/>
        <w:gridCol w:w="2000"/>
        <w:gridCol w:w="3020"/>
      </w:tblGrid>
      <w:tr>
        <w:trPr>
          <w:tblHeader w:val="true"/>
        </w:trPr>
        <w:tc>
          <w:tcPr>
            <w:tcW w:w="400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Item</w:t>
            </w:r>
          </w:p>
        </w:tc>
        <w:tc>
          <w:tcPr>
            <w:tcW w:w="200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MVP cost</w:t>
            </w:r>
          </w:p>
        </w:tc>
        <w:tc>
          <w:tcPr>
            <w:tcW w:w="302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Production outlook</w:t>
            </w:r>
          </w:p>
        </w:tc>
      </w:tr>
      <w:tr>
        <w:trPr/>
        <w:tc>
          <w:tcPr>
            <w:tcW w:w="40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Core software: Moodle, Docker, PostgreSQL, Python and open-source development tooling</w:t>
            </w:r>
          </w:p>
        </w:tc>
        <w:tc>
          <w:tcPr>
            <w:tcW w:w="20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$0 — freeware</w:t>
            </w:r>
          </w:p>
        </w:tc>
        <w:tc>
          <w:tcPr>
            <w:tcW w:w="3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$0 — remains open source</w:t>
            </w:r>
          </w:p>
        </w:tc>
      </w:tr>
      <w:tr>
        <w:trPr/>
        <w:tc>
          <w:tcPr>
            <w:tcW w:w="40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Development hardware and internet access</w:t>
            </w:r>
          </w:p>
        </w:tc>
        <w:tc>
          <w:tcPr>
            <w:tcW w:w="20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In-kind (team resources)</w:t>
            </w:r>
          </w:p>
        </w:tc>
        <w:tc>
          <w:tcPr>
            <w:tcW w:w="3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Standard staff equipment provision</w:t>
            </w:r>
          </w:p>
        </w:tc>
      </w:tr>
      <w:tr>
        <w:trPr/>
        <w:tc>
          <w:tcPr>
            <w:tcW w:w="40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Local embedding model inference</w:t>
            </w:r>
          </w:p>
        </w:tc>
        <w:tc>
          <w:tcPr>
            <w:tcW w:w="20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$0 — runs locally</w:t>
            </w:r>
          </w:p>
        </w:tc>
        <w:tc>
          <w:tcPr>
            <w:tcW w:w="3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Negligible; CPU or shared GPU</w:t>
            </w:r>
          </w:p>
        </w:tc>
      </w:tr>
      <w:tr>
        <w:trPr/>
        <w:tc>
          <w:tcPr>
            <w:tcW w:w="40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External LLM API tokens for adjudication and generation</w:t>
            </w:r>
          </w:p>
        </w:tc>
        <w:tc>
          <w:tcPr>
            <w:tcW w:w="20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sz w:val="20"/>
                <w:szCs w:val="20"/>
              </w:rPr>
              <w:t>Approx $0.02 USD (25% input tokens, 75% output tokens claude opus 4.8) for 150 students on 3 subjects</w:t>
            </w:r>
            <w:r>
              <w:rPr>
                <w:sz w:val="20"/>
                <w:szCs w:val="20"/>
              </w:rPr>
              <w:t>— capped for the MVP; local model remains the fallback</w:t>
            </w:r>
          </w:p>
        </w:tc>
        <w:tc>
          <w:tcPr>
            <w:tcW w:w="3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sz w:val="20"/>
                <w:szCs w:val="20"/>
              </w:rPr>
              <w:t xml:space="preserve">Approx $0.10 USD </w:t>
            </w:r>
            <w:r>
              <w:rPr>
                <w:sz w:val="20"/>
                <w:szCs w:val="20"/>
              </w:rPr>
              <w:t xml:space="preserve">per 1,000 students per semester, based on measured tokens per student </w:t>
            </w:r>
            <w:r>
              <w:rPr>
                <w:sz w:val="20"/>
                <w:szCs w:val="20"/>
              </w:rPr>
              <w:t>over three subjects. If say sixteen subjects, then approx $0.53 USD per 1000 students.</w:t>
            </w:r>
          </w:p>
        </w:tc>
      </w:tr>
      <w:tr>
        <w:trPr/>
        <w:tc>
          <w:tcPr>
            <w:tcW w:w="40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Cloud production hosting</w:t>
            </w:r>
          </w:p>
        </w:tc>
        <w:tc>
          <w:tcPr>
            <w:tcW w:w="20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$0 — deferred, local-first for the MVP</w:t>
            </w:r>
          </w:p>
        </w:tc>
        <w:tc>
          <w:tcPr>
            <w:tcW w:w="3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sz w:val="20"/>
                <w:szCs w:val="20"/>
              </w:rPr>
              <w:t xml:space="preserve">$200 </w:t>
            </w:r>
            <w:r>
              <w:rPr>
                <w:sz w:val="20"/>
                <w:szCs w:val="20"/>
              </w:rPr>
              <w:t>per month for a small managed instance</w:t>
            </w:r>
          </w:p>
        </w:tc>
      </w:tr>
      <w:tr>
        <w:trPr/>
        <w:tc>
          <w:tcPr>
            <w:tcW w:w="40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Ongoing maintenance allowance after handover</w:t>
            </w:r>
          </w:p>
        </w:tc>
        <w:tc>
          <w:tcPr>
            <w:tcW w:w="20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Not applicable</w:t>
            </w:r>
          </w:p>
        </w:tc>
        <w:tc>
          <w:tcPr>
            <w:tcW w:w="30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sz w:val="20"/>
                <w:szCs w:val="20"/>
              </w:rPr>
              <w:t xml:space="preserve">40 </w:t>
            </w:r>
            <w:r>
              <w:rPr>
                <w:sz w:val="20"/>
                <w:szCs w:val="20"/>
              </w:rPr>
              <w:t>hours per semester</w:t>
            </w:r>
          </w:p>
        </w:tc>
      </w:tr>
    </w:tbl>
    <w:p>
      <w:pPr>
        <w:pStyle w:val="Normal"/>
        <w:spacing w:before="0" w:after="120"/>
        <w:rPr/>
      </w:pPr>
      <w:r>
        <w:rPr/>
      </w:r>
    </w:p>
    <w:p>
      <w:pPr>
        <w:pStyle w:val="Normal"/>
        <w:spacing w:before="0" w:after="120"/>
        <w:rPr/>
      </w:pPr>
      <w:r>
        <w:rPr>
          <w:sz w:val="20"/>
          <w:szCs w:val="20"/>
        </w:rPr>
        <w:t>The tender is priced to be realistic rather than to undercut. Understating effort would misrepresent the maintenance and support burden the University would inherit at handover.</w:t>
      </w:r>
    </w:p>
    <w:p>
      <w:pPr>
        <w:pStyle w:val="Heading1"/>
        <w:spacing w:before="320" w:after="160"/>
        <w:rPr/>
      </w:pPr>
      <w:r>
        <w:rPr>
          <w:b/>
          <w:bCs/>
          <w:color w:val="1F3864"/>
          <w:sz w:val="26"/>
          <w:szCs w:val="26"/>
        </w:rPr>
        <w:t>7  Constraints, Limitations and Working Environment</w:t>
      </w:r>
    </w:p>
    <w:p>
      <w:pPr>
        <w:pStyle w:val="Normal"/>
        <w:spacing w:before="0" w:after="120"/>
        <w:rPr/>
      </w:pPr>
      <w:r>
        <w:rPr>
          <w:sz w:val="20"/>
          <w:szCs w:val="20"/>
        </w:rPr>
        <w:t>This section describes the environment the project must operate within and the limits on what can be built inside it. Risks and their controls are registered separately in Section 3.</w:t>
      </w:r>
    </w:p>
    <w:tbl>
      <w:tblPr>
        <w:tblW w:w="9020" w:type="dxa"/>
        <w:jc w:val="left"/>
        <w:tblInd w:w="0" w:type="dxa"/>
        <w:tblLayout w:type="fixed"/>
        <w:tblCellMar>
          <w:top w:w="60" w:type="dxa"/>
          <w:left w:w="100" w:type="dxa"/>
          <w:bottom w:w="60" w:type="dxa"/>
          <w:right w:w="100" w:type="dxa"/>
        </w:tblCellMar>
      </w:tblPr>
      <w:tblGrid>
        <w:gridCol w:w="499"/>
        <w:gridCol w:w="3600"/>
        <w:gridCol w:w="4921"/>
      </w:tblGrid>
      <w:tr>
        <w:trPr>
          <w:tblHeader w:val="true"/>
        </w:trPr>
        <w:tc>
          <w:tcPr>
            <w:tcW w:w="499"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No</w:t>
            </w:r>
          </w:p>
        </w:tc>
        <w:tc>
          <w:tcPr>
            <w:tcW w:w="360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Constraint or limitation</w:t>
            </w:r>
          </w:p>
        </w:tc>
        <w:tc>
          <w:tcPr>
            <w:tcW w:w="4921"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Impact and response</w:t>
            </w:r>
          </w:p>
        </w:tc>
      </w:tr>
      <w:tr>
        <w:trPr/>
        <w:tc>
          <w:tcPr>
            <w:tcW w:w="4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1</w:t>
            </w:r>
          </w:p>
        </w:tc>
        <w:tc>
          <w:tcPr>
            <w:tcW w:w="3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Delivery environment: a nine-teaching-week envelope across six sprints, with all six members studying part-time and several in concurrent employment.</w:t>
            </w:r>
          </w:p>
        </w:tc>
        <w:tc>
          <w:tcPr>
            <w:tcW w:w="49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Caps realistic throughput at approximately 15 hours per member per week. Addressed by thin vertical slicing, a protected walking skeleton, and Sprint 6 held partly as contingency.</w:t>
            </w:r>
          </w:p>
        </w:tc>
      </w:tr>
      <w:tr>
        <w:trPr/>
        <w:tc>
          <w:tcPr>
            <w:tcW w:w="4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2</w:t>
            </w:r>
          </w:p>
        </w:tc>
        <w:tc>
          <w:tcPr>
            <w:tcW w:w="3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Technical environment: Moodle Web Services do not expose rubric fills.</w:t>
            </w:r>
          </w:p>
        </w:tc>
        <w:tc>
          <w:tcPr>
            <w:tcW w:w="49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A least-privilege read-only SQL path is used for the MVP, isolated behind an extraction interface so a future Moodle web service or plugin can replace it without touching the analytics layer.</w:t>
            </w:r>
          </w:p>
        </w:tc>
      </w:tr>
      <w:tr>
        <w:trPr/>
        <w:tc>
          <w:tcPr>
            <w:tcW w:w="4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3</w:t>
            </w:r>
          </w:p>
        </w:tc>
        <w:tc>
          <w:tcPr>
            <w:tcW w:w="3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Data environment: the multi-subject dataset, at-risk threshold rules, sanitised assessor feedback and three degree course maps are supplied by the project owner and are not yet released.</w:t>
            </w:r>
          </w:p>
        </w:tc>
        <w:tc>
          <w:tcPr>
            <w:tcW w:w="49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Development proceeds against synthetic cohorts. Open decisions are tracked and raised at the weekly owner meeting; the data model is kept schema-driven so the real dataset can be substituted.</w:t>
            </w:r>
          </w:p>
        </w:tc>
      </w:tr>
      <w:tr>
        <w:trPr/>
        <w:tc>
          <w:tcPr>
            <w:tcW w:w="4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4</w:t>
            </w:r>
          </w:p>
        </w:tc>
        <w:tc>
          <w:tcPr>
            <w:tcW w:w="3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Governance environment: institutional data-governance policy may restrict which LLM providers may process University data.</w:t>
            </w:r>
          </w:p>
        </w:tc>
        <w:tc>
          <w:tcPr>
            <w:tcW w:w="49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The LLM backend sits behind a provider abstraction with a local model fallback, so a governance decision changes configuration rather than architecture.</w:t>
            </w:r>
          </w:p>
        </w:tc>
      </w:tr>
      <w:tr>
        <w:trPr/>
        <w:tc>
          <w:tcPr>
            <w:tcW w:w="4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5</w:t>
            </w:r>
          </w:p>
        </w:tc>
        <w:tc>
          <w:tcPr>
            <w:tcW w:w="3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Expertise: the team has no prior production Moodle plugin development experience.</w:t>
            </w:r>
          </w:p>
        </w:tc>
        <w:tc>
          <w:tcPr>
            <w:tcW w:w="49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The full custom plugin is deliberately scoped as a stretch option rather than an MVP dependency. Moodle-specific knowledge is being built through the local development environment.</w:t>
            </w:r>
          </w:p>
        </w:tc>
      </w:tr>
      <w:tr>
        <w:trPr/>
        <w:tc>
          <w:tcPr>
            <w:tcW w:w="4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6</w:t>
            </w:r>
          </w:p>
        </w:tc>
        <w:tc>
          <w:tcPr>
            <w:tcW w:w="3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Distribution: the team works across the online cohort and multiple time zones.</w:t>
            </w:r>
          </w:p>
        </w:tc>
        <w:tc>
          <w:tcPr>
            <w:tcW w:w="49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Asynchronous-first working in Jira and MS Teams, with one fixed synchronous team meeting and one project-owner meeting each week; decisions written up within 24 hours.</w:t>
            </w:r>
          </w:p>
        </w:tc>
      </w:tr>
      <w:tr>
        <w:trPr/>
        <w:tc>
          <w:tcPr>
            <w:tcW w:w="4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7</w:t>
            </w:r>
          </w:p>
        </w:tc>
        <w:tc>
          <w:tcPr>
            <w:tcW w:w="3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Ethical limitation: the system must not alter official grades or substitute for academic judgement.</w:t>
            </w:r>
          </w:p>
        </w:tc>
        <w:tc>
          <w:tcPr>
            <w:tcW w:w="49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Enforced architecturally through read-only access to Moodle, and stated as an explicit out-of-scope item and a dashboard disclaimer.</w:t>
            </w:r>
          </w:p>
        </w:tc>
      </w:tr>
    </w:tbl>
    <w:p>
      <w:pPr>
        <w:pStyle w:val="Heading1"/>
        <w:spacing w:before="320" w:after="160"/>
        <w:rPr/>
      </w:pPr>
      <w:r>
        <w:rPr>
          <w:b/>
          <w:bCs/>
          <w:color w:val="1F3864"/>
          <w:sz w:val="26"/>
          <w:szCs w:val="26"/>
        </w:rPr>
        <w:t>8  Deliverables, Anticipated Hours and Timelines</w:t>
      </w:r>
    </w:p>
    <w:p>
      <w:pPr>
        <w:pStyle w:val="Normal"/>
        <w:spacing w:before="0" w:after="120"/>
        <w:rPr/>
      </w:pPr>
      <w:r>
        <w:rPr>
          <w:sz w:val="20"/>
          <w:szCs w:val="20"/>
        </w:rPr>
        <w:t>Effort is expressed by feature outcome rather than by phase, so the schedule reflects incremental delivery rather than a waterfall sequence. Each item corresponds to one or more user stories in the Jira backlog.</w:t>
      </w:r>
    </w:p>
    <w:p>
      <w:pPr>
        <w:pStyle w:val="Normal"/>
        <w:spacing w:before="0" w:after="120"/>
        <w:rPr>
          <w:b/>
          <w:bCs/>
          <w:sz w:val="20"/>
          <w:szCs w:val="20"/>
          <w:highlight w:val="yellow"/>
        </w:rPr>
      </w:pPr>
      <w:r>
        <w:rPr/>
      </w:r>
    </w:p>
    <w:tbl>
      <w:tblPr>
        <w:tblW w:w="9020" w:type="dxa"/>
        <w:jc w:val="left"/>
        <w:tblInd w:w="0" w:type="dxa"/>
        <w:tblLayout w:type="fixed"/>
        <w:tblCellMar>
          <w:top w:w="60" w:type="dxa"/>
          <w:left w:w="100" w:type="dxa"/>
          <w:bottom w:w="60" w:type="dxa"/>
          <w:right w:w="100" w:type="dxa"/>
        </w:tblCellMar>
      </w:tblPr>
      <w:tblGrid>
        <w:gridCol w:w="3300"/>
        <w:gridCol w:w="1300"/>
        <w:gridCol w:w="1600"/>
        <w:gridCol w:w="2819"/>
      </w:tblGrid>
      <w:tr>
        <w:trPr>
          <w:tblHeader w:val="true"/>
        </w:trPr>
        <w:tc>
          <w:tcPr>
            <w:tcW w:w="330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Feature outcome (user story group)</w:t>
            </w:r>
          </w:p>
        </w:tc>
        <w:tc>
          <w:tcPr>
            <w:tcW w:w="130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Team hours</w:t>
            </w:r>
          </w:p>
        </w:tc>
        <w:tc>
          <w:tcPr>
            <w:tcW w:w="160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Delivered by</w:t>
            </w:r>
          </w:p>
        </w:tc>
        <w:tc>
          <w:tcPr>
            <w:tcW w:w="2819"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Status</w:t>
            </w:r>
          </w:p>
        </w:tc>
      </w:tr>
      <w:tr>
        <w:trPr/>
        <w:tc>
          <w:tcPr>
            <w:tcW w:w="3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Dockerised Moodle environment plus synthetic sample data</w:t>
            </w:r>
          </w:p>
        </w:tc>
        <w:tc>
          <w:tcPr>
            <w:tcW w:w="13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bCs/>
                <w:sz w:val="20"/>
                <w:szCs w:val="20"/>
                <w:shd w:fill="auto" w:val="clear"/>
              </w:rPr>
              <w:t>80</w:t>
            </w:r>
          </w:p>
        </w:tc>
        <w:tc>
          <w:tcPr>
            <w:tcW w:w="1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End Sprint 2</w:t>
            </w:r>
          </w:p>
        </w:tc>
        <w:tc>
          <w:tcPr>
            <w:tcW w:w="28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Delivered</w:t>
            </w:r>
          </w:p>
        </w:tc>
      </w:tr>
      <w:tr>
        <w:trPr/>
        <w:tc>
          <w:tcPr>
            <w:tcW w:w="3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Assessment, rubric-fill and feedback extraction</w:t>
            </w:r>
          </w:p>
        </w:tc>
        <w:tc>
          <w:tcPr>
            <w:tcW w:w="13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bCs/>
                <w:sz w:val="20"/>
                <w:szCs w:val="20"/>
                <w:shd w:fill="auto" w:val="clear"/>
              </w:rPr>
              <w:t>25</w:t>
            </w:r>
          </w:p>
        </w:tc>
        <w:tc>
          <w:tcPr>
            <w:tcW w:w="1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Mid Sprint 3</w:t>
            </w:r>
          </w:p>
        </w:tc>
        <w:tc>
          <w:tcPr>
            <w:tcW w:w="28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In progress</w:t>
            </w:r>
          </w:p>
        </w:tc>
      </w:tr>
      <w:tr>
        <w:trPr/>
        <w:tc>
          <w:tcPr>
            <w:tcW w:w="3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Semantic criterion-to-SILO mapping and competency clustering</w:t>
            </w:r>
          </w:p>
        </w:tc>
        <w:tc>
          <w:tcPr>
            <w:tcW w:w="13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bCs/>
                <w:sz w:val="20"/>
                <w:szCs w:val="20"/>
                <w:shd w:fill="auto" w:val="clear"/>
              </w:rPr>
              <w:t>15</w:t>
            </w:r>
          </w:p>
        </w:tc>
        <w:tc>
          <w:tcPr>
            <w:tcW w:w="1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End Sprint 3</w:t>
            </w:r>
          </w:p>
        </w:tc>
        <w:tc>
          <w:tcPr>
            <w:tcW w:w="28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Planned</w:t>
            </w:r>
          </w:p>
        </w:tc>
      </w:tr>
      <w:tr>
        <w:trPr/>
        <w:tc>
          <w:tcPr>
            <w:tcW w:w="3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Relative gap-detection engine and validation set</w:t>
            </w:r>
          </w:p>
        </w:tc>
        <w:tc>
          <w:tcPr>
            <w:tcW w:w="13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bCs/>
                <w:sz w:val="20"/>
                <w:szCs w:val="20"/>
                <w:shd w:fill="auto" w:val="clear"/>
              </w:rPr>
              <w:t>40</w:t>
            </w:r>
          </w:p>
        </w:tc>
        <w:tc>
          <w:tcPr>
            <w:tcW w:w="1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End Sprint 4</w:t>
            </w:r>
          </w:p>
        </w:tc>
        <w:tc>
          <w:tcPr>
            <w:tcW w:w="28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Planned</w:t>
            </w:r>
          </w:p>
        </w:tc>
      </w:tr>
      <w:tr>
        <w:trPr/>
        <w:tc>
          <w:tcPr>
            <w:tcW w:w="3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Visual mastery dashboard</w:t>
            </w:r>
          </w:p>
        </w:tc>
        <w:tc>
          <w:tcPr>
            <w:tcW w:w="13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bCs/>
                <w:sz w:val="20"/>
                <w:szCs w:val="20"/>
                <w:shd w:fill="auto" w:val="clear"/>
              </w:rPr>
              <w:t>10</w:t>
            </w:r>
          </w:p>
        </w:tc>
        <w:tc>
          <w:tcPr>
            <w:tcW w:w="1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Mid Sprint 5</w:t>
            </w:r>
          </w:p>
        </w:tc>
        <w:tc>
          <w:tcPr>
            <w:tcW w:w="28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Planned</w:t>
            </w:r>
          </w:p>
        </w:tc>
      </w:tr>
      <w:tr>
        <w:trPr/>
        <w:tc>
          <w:tcPr>
            <w:tcW w:w="3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Grounded personalised learning plan</w:t>
            </w:r>
          </w:p>
        </w:tc>
        <w:tc>
          <w:tcPr>
            <w:tcW w:w="13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bCs/>
                <w:sz w:val="20"/>
                <w:szCs w:val="20"/>
                <w:shd w:fill="auto" w:val="clear"/>
              </w:rPr>
              <w:t>20</w:t>
            </w:r>
          </w:p>
        </w:tc>
        <w:tc>
          <w:tcPr>
            <w:tcW w:w="1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End Sprint 5</w:t>
            </w:r>
          </w:p>
        </w:tc>
        <w:tc>
          <w:tcPr>
            <w:tcW w:w="28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Planned</w:t>
            </w:r>
          </w:p>
        </w:tc>
      </w:tr>
      <w:tr>
        <w:trPr/>
        <w:tc>
          <w:tcPr>
            <w:tcW w:w="3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Longitudinal and A/B data export</w:t>
            </w:r>
          </w:p>
        </w:tc>
        <w:tc>
          <w:tcPr>
            <w:tcW w:w="13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bCs/>
                <w:sz w:val="20"/>
                <w:szCs w:val="20"/>
                <w:shd w:fill="auto" w:val="clear"/>
              </w:rPr>
              <w:t>10</w:t>
            </w:r>
          </w:p>
        </w:tc>
        <w:tc>
          <w:tcPr>
            <w:tcW w:w="1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End Sprint 5</w:t>
            </w:r>
          </w:p>
        </w:tc>
        <w:tc>
          <w:tcPr>
            <w:tcW w:w="28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Planned</w:t>
            </w:r>
          </w:p>
        </w:tc>
      </w:tr>
      <w:tr>
        <w:trPr/>
        <w:tc>
          <w:tcPr>
            <w:tcW w:w="3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Adaptive quiz generation</w:t>
            </w:r>
          </w:p>
        </w:tc>
        <w:tc>
          <w:tcPr>
            <w:tcW w:w="13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bCs/>
                <w:sz w:val="20"/>
                <w:szCs w:val="20"/>
                <w:shd w:fill="auto" w:val="clear"/>
              </w:rPr>
              <w:t>30</w:t>
            </w:r>
          </w:p>
        </w:tc>
        <w:tc>
          <w:tcPr>
            <w:tcW w:w="1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Mid Sprint 6</w:t>
            </w:r>
          </w:p>
        </w:tc>
        <w:tc>
          <w:tcPr>
            <w:tcW w:w="28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Planned — first descope candidate</w:t>
            </w:r>
          </w:p>
        </w:tc>
      </w:tr>
      <w:tr>
        <w:trPr/>
        <w:tc>
          <w:tcPr>
            <w:tcW w:w="3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QA, security hardening, documentation, demonstration and handover</w:t>
            </w:r>
          </w:p>
        </w:tc>
        <w:tc>
          <w:tcPr>
            <w:tcW w:w="13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bCs/>
                <w:sz w:val="20"/>
                <w:szCs w:val="20"/>
                <w:shd w:fill="auto" w:val="clear"/>
              </w:rPr>
              <w:t>10</w:t>
            </w:r>
          </w:p>
        </w:tc>
        <w:tc>
          <w:tcPr>
            <w:tcW w:w="1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End Sprint 6</w:t>
            </w:r>
          </w:p>
        </w:tc>
        <w:tc>
          <w:tcPr>
            <w:tcW w:w="28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Planned</w:t>
            </w:r>
          </w:p>
        </w:tc>
      </w:tr>
      <w:tr>
        <w:trPr/>
        <w:tc>
          <w:tcPr>
            <w:tcW w:w="3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Total</w:t>
            </w:r>
          </w:p>
        </w:tc>
        <w:tc>
          <w:tcPr>
            <w:tcW w:w="13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bCs/>
                <w:sz w:val="20"/>
                <w:szCs w:val="20"/>
                <w:shd w:fill="auto" w:val="clear"/>
              </w:rPr>
              <w:t>240</w:t>
            </w:r>
          </w:p>
        </w:tc>
        <w:tc>
          <w:tcPr>
            <w:tcW w:w="16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w:t>
            </w:r>
          </w:p>
        </w:tc>
        <w:tc>
          <w:tcPr>
            <w:tcW w:w="281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R</w:t>
            </w:r>
            <w:r>
              <w:rPr>
                <w:b w:val="false"/>
                <w:bCs w:val="false"/>
                <w:sz w:val="20"/>
                <w:szCs w:val="20"/>
              </w:rPr>
              <w:t>econcile</w:t>
            </w:r>
            <w:r>
              <w:rPr>
                <w:b w:val="false"/>
                <w:bCs w:val="false"/>
                <w:sz w:val="20"/>
                <w:szCs w:val="20"/>
              </w:rPr>
              <w:t>s</w:t>
            </w:r>
            <w:r>
              <w:rPr>
                <w:b w:val="false"/>
                <w:bCs w:val="false"/>
                <w:sz w:val="20"/>
                <w:szCs w:val="20"/>
              </w:rPr>
              <w:t xml:space="preserve"> with Section 6</w:t>
            </w:r>
          </w:p>
        </w:tc>
      </w:tr>
    </w:tbl>
    <w:p>
      <w:pPr>
        <w:pStyle w:val="Heading2"/>
        <w:spacing w:before="220" w:after="120"/>
        <w:rPr/>
      </w:pPr>
      <w:r>
        <w:rPr>
          <w:b/>
          <w:bCs/>
          <w:color w:val="1F3864"/>
          <w:sz w:val="22"/>
          <w:szCs w:val="22"/>
        </w:rPr>
        <w:t>Milestone Timeline</w:t>
      </w:r>
    </w:p>
    <w:tbl>
      <w:tblPr>
        <w:tblW w:w="9020" w:type="dxa"/>
        <w:jc w:val="left"/>
        <w:tblInd w:w="0" w:type="dxa"/>
        <w:tblLayout w:type="fixed"/>
        <w:tblCellMar>
          <w:top w:w="60" w:type="dxa"/>
          <w:left w:w="100" w:type="dxa"/>
          <w:bottom w:w="60" w:type="dxa"/>
          <w:right w:w="100" w:type="dxa"/>
        </w:tblCellMar>
      </w:tblPr>
      <w:tblGrid>
        <w:gridCol w:w="3300"/>
        <w:gridCol w:w="2200"/>
        <w:gridCol w:w="3520"/>
      </w:tblGrid>
      <w:tr>
        <w:trPr>
          <w:tblHeader w:val="true"/>
        </w:trPr>
        <w:tc>
          <w:tcPr>
            <w:tcW w:w="330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Milestone</w:t>
            </w:r>
          </w:p>
        </w:tc>
        <w:tc>
          <w:tcPr>
            <w:tcW w:w="220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When</w:t>
            </w:r>
          </w:p>
        </w:tc>
        <w:tc>
          <w:tcPr>
            <w:tcW w:w="352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Note</w:t>
            </w:r>
          </w:p>
        </w:tc>
      </w:tr>
      <w:tr>
        <w:trPr/>
        <w:tc>
          <w:tcPr>
            <w:tcW w:w="3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Project owner requirements meeting and requirements document</w:t>
            </w:r>
          </w:p>
        </w:tc>
        <w:tc>
          <w:tcPr>
            <w:tcW w:w="22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Sprint 1</w:t>
            </w:r>
          </w:p>
        </w:tc>
        <w:tc>
          <w:tcPr>
            <w:tcW w:w="35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Complete</w:t>
            </w:r>
          </w:p>
        </w:tc>
      </w:tr>
      <w:tr>
        <w:trPr/>
        <w:tc>
          <w:tcPr>
            <w:tcW w:w="3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Dockerised Moodle environment operational</w:t>
            </w:r>
          </w:p>
        </w:tc>
        <w:tc>
          <w:tcPr>
            <w:tcW w:w="22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Sprint 1–2</w:t>
            </w:r>
          </w:p>
        </w:tc>
        <w:tc>
          <w:tcPr>
            <w:tcW w:w="35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Complete</w:t>
            </w:r>
          </w:p>
        </w:tc>
      </w:tr>
      <w:tr>
        <w:trPr/>
        <w:tc>
          <w:tcPr>
            <w:tcW w:w="3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Trade show — public presentation of design and prototype direction</w:t>
            </w:r>
          </w:p>
        </w:tc>
        <w:tc>
          <w:tcPr>
            <w:tcW w:w="22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Week 4</w:t>
            </w:r>
          </w:p>
        </w:tc>
        <w:tc>
          <w:tcPr>
            <w:tcW w:w="35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Complete</w:t>
            </w:r>
          </w:p>
        </w:tc>
      </w:tr>
      <w:tr>
        <w:trPr/>
        <w:tc>
          <w:tcPr>
            <w:tcW w:w="3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Tender submission</w:t>
            </w:r>
          </w:p>
        </w:tc>
        <w:tc>
          <w:tcPr>
            <w:tcW w:w="22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23 August 2026</w:t>
            </w:r>
          </w:p>
        </w:tc>
        <w:tc>
          <w:tcPr>
            <w:tcW w:w="35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This document</w:t>
            </w:r>
          </w:p>
        </w:tc>
      </w:tr>
      <w:tr>
        <w:trPr/>
        <w:tc>
          <w:tcPr>
            <w:tcW w:w="3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Walking skeleton demonstrated end to end</w:t>
            </w:r>
          </w:p>
        </w:tc>
        <w:tc>
          <w:tcPr>
            <w:tcW w:w="22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End Sprint 3</w:t>
            </w:r>
          </w:p>
        </w:tc>
        <w:tc>
          <w:tcPr>
            <w:tcW w:w="35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Owner review</w:t>
            </w:r>
          </w:p>
        </w:tc>
      </w:tr>
      <w:tr>
        <w:trPr/>
        <w:tc>
          <w:tcPr>
            <w:tcW w:w="3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Gap engine validated</w:t>
            </w:r>
          </w:p>
        </w:tc>
        <w:tc>
          <w:tcPr>
            <w:tcW w:w="22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End Sprint 4</w:t>
            </w:r>
          </w:p>
        </w:tc>
        <w:tc>
          <w:tcPr>
            <w:tcW w:w="35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Owner review</w:t>
            </w:r>
          </w:p>
        </w:tc>
      </w:tr>
      <w:tr>
        <w:trPr/>
        <w:tc>
          <w:tcPr>
            <w:tcW w:w="3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Dashboard, learning plan and export demonstrated</w:t>
            </w:r>
          </w:p>
        </w:tc>
        <w:tc>
          <w:tcPr>
            <w:tcW w:w="22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End Sprint 5</w:t>
            </w:r>
          </w:p>
        </w:tc>
        <w:tc>
          <w:tcPr>
            <w:tcW w:w="35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Owner review</w:t>
            </w:r>
          </w:p>
        </w:tc>
      </w:tr>
      <w:tr>
        <w:trPr/>
        <w:tc>
          <w:tcPr>
            <w:tcW w:w="33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Final demonstration and handover package</w:t>
            </w:r>
          </w:p>
        </w:tc>
        <w:tc>
          <w:tcPr>
            <w:tcW w:w="22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End Sprint 6</w:t>
            </w:r>
          </w:p>
        </w:tc>
        <w:tc>
          <w:tcPr>
            <w:tcW w:w="35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Handover</w:t>
            </w:r>
          </w:p>
        </w:tc>
      </w:tr>
    </w:tbl>
    <w:p>
      <w:pPr>
        <w:pStyle w:val="Heading1"/>
        <w:spacing w:before="320" w:after="160"/>
        <w:rPr/>
      </w:pPr>
      <w:r>
        <w:rPr>
          <w:b/>
          <w:bCs/>
          <w:color w:val="1F3864"/>
          <w:sz w:val="26"/>
          <w:szCs w:val="26"/>
        </w:rPr>
        <w:t>9  Statement of Work</w:t>
      </w:r>
    </w:p>
    <w:p>
      <w:pPr>
        <w:pStyle w:val="Normal"/>
        <w:spacing w:before="0" w:after="120"/>
        <w:rPr/>
      </w:pPr>
      <w:r>
        <w:rPr>
          <w:sz w:val="20"/>
          <w:szCs w:val="20"/>
        </w:rPr>
        <w:t>Design, implement, test and document a Learning Journey Assistant MVP. The team will configure a synthetic Moodle environment; extract assessment, rubric-fill and feedback data; semantically map criteria to Subject Intended Learning Outcomes; cluster outcomes into competency groups; calculate relative mastery and learning gaps; present those results through a student dashboard; add grounded personalised study recommendations, adaptive quiz functionality where the schedule permits, and a structured export supporting longitudinal and A/B evaluation.</w:t>
      </w:r>
    </w:p>
    <w:p>
      <w:pPr>
        <w:pStyle w:val="Normal"/>
        <w:spacing w:before="0" w:after="120"/>
        <w:rPr/>
      </w:pPr>
      <w:r>
        <w:rPr>
          <w:sz w:val="20"/>
          <w:szCs w:val="20"/>
        </w:rPr>
        <w:t>The work decomposes into the following work units, each owned by a named team member:</w:t>
      </w:r>
    </w:p>
    <w:tbl>
      <w:tblPr>
        <w:tblW w:w="9020" w:type="dxa"/>
        <w:jc w:val="left"/>
        <w:tblInd w:w="0" w:type="dxa"/>
        <w:tblLayout w:type="fixed"/>
        <w:tblCellMar>
          <w:top w:w="60" w:type="dxa"/>
          <w:left w:w="100" w:type="dxa"/>
          <w:bottom w:w="60" w:type="dxa"/>
          <w:right w:w="100" w:type="dxa"/>
        </w:tblCellMar>
      </w:tblPr>
      <w:tblGrid>
        <w:gridCol w:w="2599"/>
        <w:gridCol w:w="6420"/>
      </w:tblGrid>
      <w:tr>
        <w:trPr>
          <w:tblHeader w:val="true"/>
        </w:trPr>
        <w:tc>
          <w:tcPr>
            <w:tcW w:w="2599"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Work unit</w:t>
            </w:r>
          </w:p>
        </w:tc>
        <w:tc>
          <w:tcPr>
            <w:tcW w:w="642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Duties and technologies</w:t>
            </w:r>
          </w:p>
        </w:tc>
      </w:tr>
      <w:tr>
        <w:trPr/>
        <w:tc>
          <w:tcPr>
            <w:tcW w:w="25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Environment and data platform</w:t>
            </w:r>
          </w:p>
        </w:tc>
        <w:tc>
          <w:tcPr>
            <w:tcW w:w="64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Docker Compose orchestration of Moodle and PostgreSQL; seed data creation; rubric and grading configuration; environment documentation and clean-machine rebuild verification.</w:t>
            </w:r>
          </w:p>
        </w:tc>
      </w:tr>
      <w:tr>
        <w:trPr/>
        <w:tc>
          <w:tcPr>
            <w:tcW w:w="25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Extraction services</w:t>
            </w:r>
          </w:p>
        </w:tc>
        <w:tc>
          <w:tcPr>
            <w:tcW w:w="64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Python extraction layer over the Moodle Web Services API and a least-privilege read-only PostgreSQL role; normalisation into an internal schema; extraction test suite.</w:t>
            </w:r>
          </w:p>
        </w:tc>
      </w:tr>
      <w:tr>
        <w:trPr/>
        <w:tc>
          <w:tcPr>
            <w:tcW w:w="25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Semantic mapping and analytics</w:t>
            </w:r>
          </w:p>
        </w:tc>
        <w:tc>
          <w:tcPr>
            <w:tcW w:w="64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Embedding generation, similarity search and LLM adjudication for criterion-to-SILO linking; competency clustering; relative gap calculation; deterministic validation harness.</w:t>
            </w:r>
          </w:p>
        </w:tc>
      </w:tr>
      <w:tr>
        <w:trPr/>
        <w:tc>
          <w:tcPr>
            <w:tcW w:w="25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Generative learning support</w:t>
            </w:r>
          </w:p>
        </w:tc>
        <w:tc>
          <w:tcPr>
            <w:tcW w:w="64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Prompt design and grounding constraints; learning plan generation; adaptive quiz item generation; output audit tooling; LLM provider abstraction layer.</w:t>
            </w:r>
          </w:p>
        </w:tc>
      </w:tr>
      <w:tr>
        <w:trPr/>
        <w:tc>
          <w:tcPr>
            <w:tcW w:w="25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Dashboard and user experience</w:t>
            </w:r>
          </w:p>
        </w:tc>
        <w:tc>
          <w:tcPr>
            <w:tcW w:w="64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Front-end views for mastery, strengths, gaps, progress and next actions; traceability from every displayed figure back to source data; usability testing.</w:t>
            </w:r>
          </w:p>
        </w:tc>
      </w:tr>
      <w:tr>
        <w:trPr/>
        <w:tc>
          <w:tcPr>
            <w:tcW w:w="2599" w:type="dxa"/>
            <w:tcBorders>
              <w:top w:val="single" w:sz="2" w:space="0" w:color="9AA5B8"/>
              <w:left w:val="single" w:sz="2" w:space="0" w:color="9AA5B8"/>
              <w:bottom w:val="single" w:sz="2" w:space="0" w:color="9AA5B8"/>
              <w:right w:val="single" w:sz="2" w:space="0" w:color="9AA5B8"/>
            </w:tcBorders>
            <w:shd w:color="auto" w:fill="EDF0F7" w:val="clear"/>
          </w:tcPr>
          <w:p>
            <w:pPr>
              <w:pStyle w:val="Normal"/>
              <w:spacing w:before="40" w:after="40"/>
              <w:rPr/>
            </w:pPr>
            <w:r>
              <w:rPr>
                <w:b/>
                <w:bCs/>
                <w:sz w:val="20"/>
                <w:szCs w:val="20"/>
              </w:rPr>
              <w:t>Quality, security and release</w:t>
            </w:r>
          </w:p>
        </w:tc>
        <w:tc>
          <w:tcPr>
            <w:tcW w:w="642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CI pipeline, unit and integration tests, coverage reporting; secret and dependency scanning; security checklist against the nominated framework; handover and maintenance documentation.</w:t>
            </w:r>
          </w:p>
        </w:tc>
      </w:tr>
    </w:tbl>
    <w:p>
      <w:pPr>
        <w:pStyle w:val="Normal"/>
        <w:spacing w:before="0" w:after="120"/>
        <w:rPr/>
      </w:pPr>
      <w:r>
        <w:rPr/>
      </w:r>
    </w:p>
    <w:p>
      <w:pPr>
        <w:pStyle w:val="Normal"/>
        <w:spacing w:before="0" w:after="120"/>
        <w:rPr/>
      </w:pPr>
      <w:r>
        <w:rPr>
          <w:sz w:val="20"/>
          <w:szCs w:val="20"/>
        </w:rPr>
        <w:t>Work is delivered iteratively across six Agile sprints using Jira for backlog and evidence, GitHub branch and pull-request workflow with mandatory peer review, CI test evidence, and project-owner sprint reviews. The solution will not modify official grades and will not use identifiable real student data.</w:t>
      </w:r>
    </w:p>
    <w:p>
      <w:pPr>
        <w:pStyle w:val="Heading1"/>
        <w:spacing w:before="320" w:after="160"/>
        <w:rPr/>
      </w:pPr>
      <w:r>
        <w:rPr>
          <w:b/>
          <w:bCs/>
          <w:color w:val="1F3864"/>
          <w:sz w:val="26"/>
          <w:szCs w:val="26"/>
        </w:rPr>
        <w:t>10  Team Capabilities</w:t>
      </w:r>
    </w:p>
    <w:p>
      <w:pPr>
        <w:pStyle w:val="Normal"/>
        <w:spacing w:before="0" w:after="120"/>
        <w:rPr/>
      </w:pPr>
      <w:r>
        <w:rPr>
          <w:sz w:val="20"/>
          <w:szCs w:val="20"/>
        </w:rPr>
        <w:t>The team is deliberately composed of complementary rather than duplicated skill sets, with each member owning a distinct component of the architecture and a named backup so that no component depends on a single person.</w:t>
      </w:r>
    </w:p>
    <w:p>
      <w:pPr>
        <w:pStyle w:val="Normal"/>
        <w:spacing w:before="0" w:after="120"/>
        <w:rPr>
          <w:b/>
          <w:bCs/>
          <w:sz w:val="20"/>
          <w:szCs w:val="20"/>
          <w:highlight w:val="yellow"/>
        </w:rPr>
      </w:pPr>
      <w:r>
        <w:rPr/>
      </w:r>
    </w:p>
    <w:tbl>
      <w:tblPr>
        <w:tblW w:w="9020" w:type="dxa"/>
        <w:jc w:val="left"/>
        <w:tblInd w:w="0" w:type="dxa"/>
        <w:tblLayout w:type="fixed"/>
        <w:tblCellMar>
          <w:top w:w="60" w:type="dxa"/>
          <w:left w:w="100" w:type="dxa"/>
          <w:bottom w:w="60" w:type="dxa"/>
          <w:right w:w="100" w:type="dxa"/>
        </w:tblCellMar>
      </w:tblPr>
      <w:tblGrid>
        <w:gridCol w:w="1700"/>
        <w:gridCol w:w="2499"/>
        <w:gridCol w:w="2400"/>
        <w:gridCol w:w="2420"/>
      </w:tblGrid>
      <w:tr>
        <w:trPr>
          <w:tblHeader w:val="true"/>
        </w:trPr>
        <w:tc>
          <w:tcPr>
            <w:tcW w:w="170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Member</w:t>
            </w:r>
          </w:p>
        </w:tc>
        <w:tc>
          <w:tcPr>
            <w:tcW w:w="2499"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Skills and technologies</w:t>
            </w:r>
          </w:p>
        </w:tc>
        <w:tc>
          <w:tcPr>
            <w:tcW w:w="240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Experience and qualifications</w:t>
            </w:r>
          </w:p>
        </w:tc>
        <w:tc>
          <w:tcPr>
            <w:tcW w:w="242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Component owned</w:t>
            </w:r>
          </w:p>
        </w:tc>
      </w:tr>
      <w:tr>
        <w:trPr/>
        <w:tc>
          <w:tcPr>
            <w:tcW w:w="17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 xml:space="preserve">T1 </w:t>
            </w:r>
            <w:r>
              <w:rPr>
                <w:b w:val="false"/>
                <w:bCs w:val="false"/>
                <w:sz w:val="20"/>
                <w:szCs w:val="20"/>
              </w:rPr>
              <w:t>Allan Campton</w:t>
            </w:r>
          </w:p>
        </w:tc>
        <w:tc>
          <w:tcPr>
            <w:tcW w:w="2499" w:type="dxa"/>
            <w:tcBorders>
              <w:top w:val="single" w:sz="2" w:space="0" w:color="9AA5B8"/>
              <w:left w:val="single" w:sz="2" w:space="0" w:color="9AA5B8"/>
              <w:bottom w:val="single" w:sz="2" w:space="0" w:color="9AA5B8"/>
              <w:right w:val="single" w:sz="2" w:space="0" w:color="9AA5B8"/>
            </w:tcBorders>
          </w:tcPr>
          <w:p>
            <w:pPr>
              <w:pStyle w:val="Normal"/>
              <w:spacing w:before="40" w:after="40"/>
              <w:rPr>
                <w:b w:val="false"/>
                <w:bCs w:val="false"/>
                <w:highlight w:val="none"/>
                <w:shd w:fill="auto" w:val="clear"/>
              </w:rPr>
            </w:pPr>
            <w:r>
              <w:rPr>
                <w:b w:val="false"/>
                <w:bCs w:val="false"/>
                <w:sz w:val="20"/>
                <w:szCs w:val="20"/>
                <w:shd w:fill="auto" w:val="clear"/>
              </w:rPr>
              <w:t xml:space="preserve">Linux, Docker, Python, PostgreSQL, </w:t>
            </w:r>
            <w:r>
              <w:rPr>
                <w:b w:val="false"/>
                <w:bCs w:val="false"/>
                <w:sz w:val="20"/>
                <w:szCs w:val="20"/>
                <w:shd w:fill="auto" w:val="clear"/>
              </w:rPr>
              <w:t>Ada, C,   C++</w:t>
            </w:r>
          </w:p>
        </w:tc>
        <w:tc>
          <w:tcPr>
            <w:tcW w:w="2400" w:type="dxa"/>
            <w:tcBorders>
              <w:top w:val="single" w:sz="2" w:space="0" w:color="9AA5B8"/>
              <w:left w:val="single" w:sz="2" w:space="0" w:color="9AA5B8"/>
              <w:bottom w:val="single" w:sz="2" w:space="0" w:color="9AA5B8"/>
              <w:right w:val="single" w:sz="2" w:space="0" w:color="9AA5B8"/>
            </w:tcBorders>
          </w:tcPr>
          <w:p>
            <w:pPr>
              <w:pStyle w:val="Normal"/>
              <w:spacing w:before="40" w:after="40"/>
              <w:rPr>
                <w:b w:val="false"/>
                <w:bCs w:val="false"/>
                <w:highlight w:val="none"/>
                <w:shd w:fill="auto" w:val="clear"/>
              </w:rPr>
            </w:pPr>
            <w:r>
              <w:rPr>
                <w:b w:val="false"/>
                <w:bCs w:val="false"/>
                <w:sz w:val="20"/>
                <w:szCs w:val="20"/>
                <w:shd w:fill="auto" w:val="clear"/>
              </w:rPr>
              <w:t xml:space="preserve">30+ years Software Engineering in defence and aerospace. </w:t>
            </w:r>
          </w:p>
          <w:p>
            <w:pPr>
              <w:pStyle w:val="Normal"/>
              <w:spacing w:before="40" w:after="40"/>
              <w:rPr>
                <w:b w:val="false"/>
                <w:bCs w:val="false"/>
                <w:highlight w:val="none"/>
                <w:shd w:fill="auto" w:val="clear"/>
              </w:rPr>
            </w:pPr>
            <w:r>
              <w:rPr>
                <w:b w:val="false"/>
                <w:bCs w:val="false"/>
                <w:sz w:val="20"/>
                <w:szCs w:val="20"/>
                <w:shd w:fill="auto" w:val="clear"/>
              </w:rPr>
              <w:t>Bachelor of Mathematics(Hons) UOW</w:t>
              <w:br/>
              <w:t>Master of Cognitive Science UNSW</w:t>
              <w:br/>
              <w:t>Master of Engineering (Software Engineering) UQ</w:t>
            </w:r>
          </w:p>
        </w:tc>
        <w:tc>
          <w:tcPr>
            <w:tcW w:w="2420" w:type="dxa"/>
            <w:tcBorders>
              <w:top w:val="single" w:sz="2" w:space="0" w:color="9AA5B8"/>
              <w:left w:val="single" w:sz="2" w:space="0" w:color="9AA5B8"/>
              <w:bottom w:val="single" w:sz="2" w:space="0" w:color="9AA5B8"/>
              <w:right w:val="single" w:sz="2" w:space="0" w:color="9AA5B8"/>
            </w:tcBorders>
          </w:tcPr>
          <w:p>
            <w:pPr>
              <w:pStyle w:val="Normal"/>
              <w:spacing w:before="40" w:after="40"/>
              <w:rPr>
                <w:b w:val="false"/>
                <w:bCs w:val="false"/>
                <w:highlight w:val="none"/>
                <w:shd w:fill="auto" w:val="clear"/>
              </w:rPr>
            </w:pPr>
            <w:r>
              <w:rPr>
                <w:b w:val="false"/>
                <w:bCs w:val="false"/>
                <w:sz w:val="20"/>
                <w:szCs w:val="20"/>
                <w:shd w:fill="auto" w:val="clear"/>
              </w:rPr>
              <w:t>Software Architect</w:t>
            </w:r>
          </w:p>
        </w:tc>
      </w:tr>
      <w:tr>
        <w:trPr/>
        <w:tc>
          <w:tcPr>
            <w:tcW w:w="1700" w:type="dxa"/>
            <w:tcBorders>
              <w:top w:val="single" w:sz="2" w:space="0" w:color="9AA5B8"/>
              <w:left w:val="single" w:sz="2" w:space="0" w:color="9AA5B8"/>
              <w:bottom w:val="single" w:sz="2" w:space="0" w:color="9AA5B8"/>
              <w:right w:val="single" w:sz="2" w:space="0" w:color="9AA5B8"/>
            </w:tcBorders>
          </w:tcPr>
          <w:p>
            <w:pPr>
              <w:pStyle w:val="Normal"/>
              <w:spacing w:before="40" w:after="40"/>
              <w:rPr>
                <w:b w:val="false"/>
                <w:bCs w:val="false"/>
                <w:highlight w:val="none"/>
                <w:shd w:fill="auto" w:val="clear"/>
              </w:rPr>
            </w:pPr>
            <w:r>
              <w:rPr>
                <w:b w:val="false"/>
                <w:bCs w:val="false"/>
                <w:sz w:val="20"/>
                <w:szCs w:val="20"/>
                <w:shd w:fill="auto" w:val="clear"/>
              </w:rPr>
              <w:t xml:space="preserve">T2 </w:t>
            </w:r>
            <w:r>
              <w:rPr>
                <w:b w:val="false"/>
                <w:bCs w:val="false"/>
                <w:sz w:val="20"/>
                <w:szCs w:val="20"/>
                <w:shd w:fill="auto" w:val="clear"/>
              </w:rPr>
              <w:t>Ayesha Mosaddeque</w:t>
            </w:r>
          </w:p>
        </w:tc>
        <w:tc>
          <w:tcPr>
            <w:tcW w:w="2499" w:type="dxa"/>
            <w:tcBorders>
              <w:top w:val="single" w:sz="2" w:space="0" w:color="9AA5B8"/>
              <w:left w:val="single" w:sz="2" w:space="0" w:color="9AA5B8"/>
              <w:bottom w:val="single" w:sz="2" w:space="0" w:color="9AA5B8"/>
              <w:right w:val="single" w:sz="2" w:space="0" w:color="9AA5B8"/>
            </w:tcBorders>
          </w:tcPr>
          <w:p>
            <w:pPr>
              <w:pStyle w:val="Normal"/>
              <w:spacing w:before="40" w:after="40"/>
              <w:rPr>
                <w:b w:val="false"/>
                <w:bCs w:val="false"/>
                <w:highlight w:val="none"/>
                <w:shd w:fill="auto" w:val="clear"/>
              </w:rPr>
            </w:pPr>
            <w:r>
              <w:rPr>
                <w:b w:val="false"/>
                <w:bCs w:val="false"/>
                <w:sz w:val="20"/>
                <w:szCs w:val="20"/>
                <w:shd w:fill="auto" w:val="clear"/>
              </w:rPr>
              <w:t>Python, Java, REST/GraphQL, PostgreSQL, AWS, SageMaker, Docker, Kubernetes, Terraform, CI/CD, automated testing, OAuth/JWT, threat modelling and vulnerability assessment</w:t>
            </w:r>
          </w:p>
          <w:p>
            <w:pPr>
              <w:pStyle w:val="Normal"/>
              <w:spacing w:before="40" w:after="40"/>
              <w:rPr>
                <w:sz w:val="20"/>
                <w:szCs w:val="20"/>
              </w:rPr>
            </w:pPr>
            <w:r>
              <w:rPr>
                <w:b w:val="false"/>
                <w:bCs w:val="false"/>
                <w:shd w:fill="auto" w:val="clear"/>
              </w:rPr>
            </w:r>
          </w:p>
        </w:tc>
        <w:tc>
          <w:tcPr>
            <w:tcW w:w="2400" w:type="dxa"/>
            <w:tcBorders>
              <w:top w:val="single" w:sz="2" w:space="0" w:color="9AA5B8"/>
              <w:left w:val="single" w:sz="2" w:space="0" w:color="9AA5B8"/>
              <w:bottom w:val="single" w:sz="2" w:space="0" w:color="9AA5B8"/>
              <w:right w:val="single" w:sz="2" w:space="0" w:color="9AA5B8"/>
            </w:tcBorders>
          </w:tcPr>
          <w:p>
            <w:pPr>
              <w:pStyle w:val="BodyText"/>
              <w:spacing w:before="0" w:after="140"/>
              <w:ind w:hanging="0" w:left="0" w:right="0"/>
              <w:rPr>
                <w:highlight w:val="none"/>
                <w:shd w:fill="auto" w:val="clear"/>
              </w:rPr>
            </w:pPr>
            <w:r>
              <w:rPr>
                <w:shd w:fill="auto" w:val="clear"/>
              </w:rPr>
              <w:t>Senior engineer with 14+ years of enterprise software experience; Senior Engineer at Salesforce and former AWS Prototyping Engineer; BSc in Computer Science and Engineering; Master of Artificial Intelligence in progress; six certifications covering AWS security, machine learning, development, architecture, Azure and Java</w:t>
            </w:r>
          </w:p>
        </w:tc>
        <w:tc>
          <w:tcPr>
            <w:tcW w:w="2420" w:type="dxa"/>
            <w:tcBorders>
              <w:top w:val="single" w:sz="2" w:space="0" w:color="9AA5B8"/>
              <w:left w:val="single" w:sz="2" w:space="0" w:color="9AA5B8"/>
              <w:bottom w:val="single" w:sz="2" w:space="0" w:color="9AA5B8"/>
              <w:right w:val="single" w:sz="2" w:space="0" w:color="9AA5B8"/>
            </w:tcBorders>
          </w:tcPr>
          <w:p>
            <w:pPr>
              <w:pStyle w:val="Normal"/>
              <w:spacing w:before="40" w:after="40"/>
              <w:rPr>
                <w:b w:val="false"/>
                <w:bCs w:val="false"/>
                <w:highlight w:val="none"/>
                <w:shd w:fill="auto" w:val="clear"/>
              </w:rPr>
            </w:pPr>
            <w:r>
              <w:rPr>
                <w:b w:val="false"/>
                <w:bCs w:val="false"/>
                <w:sz w:val="20"/>
                <w:szCs w:val="20"/>
                <w:shd w:fill="auto" w:val="clear"/>
              </w:rPr>
              <w:t>Software Engineering</w:t>
            </w:r>
          </w:p>
        </w:tc>
      </w:tr>
      <w:tr>
        <w:trPr/>
        <w:tc>
          <w:tcPr>
            <w:tcW w:w="1700" w:type="dxa"/>
            <w:tcBorders>
              <w:top w:val="single" w:sz="2" w:space="0" w:color="9AA5B8"/>
              <w:left w:val="single" w:sz="2" w:space="0" w:color="9AA5B8"/>
              <w:bottom w:val="single" w:sz="2" w:space="0" w:color="9AA5B8"/>
              <w:right w:val="single" w:sz="2" w:space="0" w:color="9AA5B8"/>
            </w:tcBorders>
          </w:tcPr>
          <w:p>
            <w:pPr>
              <w:pStyle w:val="Normal"/>
              <w:spacing w:before="40" w:after="40"/>
              <w:rPr>
                <w:b w:val="false"/>
                <w:bCs w:val="false"/>
                <w:highlight w:val="none"/>
                <w:shd w:fill="auto" w:val="clear"/>
              </w:rPr>
            </w:pPr>
            <w:r>
              <w:rPr>
                <w:b w:val="false"/>
                <w:bCs w:val="false"/>
                <w:sz w:val="20"/>
                <w:szCs w:val="20"/>
                <w:shd w:fill="auto" w:val="clear"/>
              </w:rPr>
              <w:t xml:space="preserve"> </w:t>
            </w:r>
            <w:r>
              <w:rPr>
                <w:b w:val="false"/>
                <w:bCs w:val="false"/>
                <w:sz w:val="20"/>
                <w:szCs w:val="20"/>
                <w:shd w:fill="auto" w:val="clear"/>
              </w:rPr>
              <w:t xml:space="preserve">T3 </w:t>
            </w:r>
            <w:r>
              <w:rPr>
                <w:b w:val="false"/>
                <w:bCs w:val="false"/>
                <w:sz w:val="20"/>
                <w:szCs w:val="20"/>
                <w:shd w:fill="auto" w:val="clear"/>
              </w:rPr>
              <w:t>Istiaque Bhuiyan</w:t>
            </w:r>
          </w:p>
        </w:tc>
        <w:tc>
          <w:tcPr>
            <w:tcW w:w="2499" w:type="dxa"/>
            <w:tcBorders>
              <w:top w:val="single" w:sz="2" w:space="0" w:color="9AA5B8"/>
              <w:left w:val="single" w:sz="2" w:space="0" w:color="9AA5B8"/>
              <w:bottom w:val="single" w:sz="2" w:space="0" w:color="9AA5B8"/>
              <w:right w:val="single" w:sz="2" w:space="0" w:color="9AA5B8"/>
            </w:tcBorders>
          </w:tcPr>
          <w:p>
            <w:pPr>
              <w:pStyle w:val="BodyText"/>
              <w:spacing w:before="40" w:after="40"/>
              <w:rPr>
                <w:b w:val="false"/>
                <w:bCs w:val="false"/>
                <w:highlight w:val="none"/>
                <w:shd w:fill="auto" w:val="clear"/>
              </w:rPr>
            </w:pPr>
            <w:r>
              <w:rPr>
                <w:b w:val="false"/>
                <w:bCs w:val="false"/>
                <w:sz w:val="20"/>
                <w:szCs w:val="20"/>
                <w:shd w:fill="auto" w:val="clear"/>
              </w:rPr>
              <w:t>Research Assistant</w:t>
            </w:r>
          </w:p>
          <w:p>
            <w:pPr>
              <w:pStyle w:val="BodyText"/>
              <w:spacing w:before="0" w:after="140"/>
              <w:rPr>
                <w:b w:val="false"/>
                <w:bCs w:val="false"/>
                <w:highlight w:val="none"/>
                <w:shd w:fill="auto" w:val="clear"/>
              </w:rPr>
            </w:pPr>
            <w:r>
              <w:rPr>
                <w:b w:val="false"/>
                <w:bCs w:val="false"/>
                <w:shd w:fill="auto" w:val="clear"/>
              </w:rPr>
              <w:t>Murdoch University, Western Australia</w:t>
            </w:r>
          </w:p>
        </w:tc>
        <w:tc>
          <w:tcPr>
            <w:tcW w:w="2400" w:type="dxa"/>
            <w:tcBorders>
              <w:top w:val="single" w:sz="2" w:space="0" w:color="9AA5B8"/>
              <w:left w:val="single" w:sz="2" w:space="0" w:color="9AA5B8"/>
              <w:bottom w:val="single" w:sz="2" w:space="0" w:color="9AA5B8"/>
              <w:right w:val="single" w:sz="2" w:space="0" w:color="9AA5B8"/>
            </w:tcBorders>
          </w:tcPr>
          <w:p>
            <w:pPr>
              <w:pStyle w:val="BodyText"/>
              <w:rPr>
                <w:highlight w:val="none"/>
                <w:shd w:fill="auto" w:val="clear"/>
              </w:rPr>
            </w:pPr>
            <w:r>
              <w:rPr>
                <w:shd w:fill="auto" w:val="clear"/>
              </w:rPr>
              <w:t>Master of IT (Major in AI)</w:t>
            </w:r>
          </w:p>
          <w:p>
            <w:pPr>
              <w:pStyle w:val="BodyText"/>
              <w:rPr>
                <w:highlight w:val="none"/>
                <w:shd w:fill="auto" w:val="clear"/>
              </w:rPr>
            </w:pPr>
            <w:r>
              <w:rPr>
                <w:shd w:fill="auto" w:val="clear"/>
              </w:rPr>
              <w:t>Bachelor in Mechanical Engineering</w:t>
            </w:r>
          </w:p>
          <w:p>
            <w:pPr>
              <w:pStyle w:val="Normal"/>
              <w:spacing w:before="40" w:after="40"/>
              <w:rPr>
                <w:b/>
                <w:bCs/>
                <w:sz w:val="20"/>
                <w:szCs w:val="20"/>
              </w:rPr>
            </w:pPr>
            <w:r>
              <w:rPr>
                <w:shd w:fill="auto" w:val="clear"/>
              </w:rPr>
            </w:r>
          </w:p>
        </w:tc>
        <w:tc>
          <w:tcPr>
            <w:tcW w:w="2420" w:type="dxa"/>
            <w:tcBorders>
              <w:top w:val="single" w:sz="2" w:space="0" w:color="9AA5B8"/>
              <w:left w:val="single" w:sz="2" w:space="0" w:color="9AA5B8"/>
              <w:bottom w:val="single" w:sz="2" w:space="0" w:color="9AA5B8"/>
              <w:right w:val="single" w:sz="2" w:space="0" w:color="9AA5B8"/>
            </w:tcBorders>
          </w:tcPr>
          <w:p>
            <w:pPr>
              <w:pStyle w:val="Normal"/>
              <w:spacing w:before="40" w:after="40"/>
              <w:rPr>
                <w:b w:val="false"/>
                <w:bCs w:val="false"/>
                <w:highlight w:val="none"/>
                <w:shd w:fill="auto" w:val="clear"/>
              </w:rPr>
            </w:pPr>
            <w:r>
              <w:rPr>
                <w:b w:val="false"/>
                <w:bCs w:val="false"/>
                <w:sz w:val="20"/>
                <w:szCs w:val="20"/>
                <w:shd w:fill="auto" w:val="clear"/>
              </w:rPr>
              <w:t>Research and Development</w:t>
            </w:r>
          </w:p>
        </w:tc>
      </w:tr>
      <w:tr>
        <w:trPr/>
        <w:tc>
          <w:tcPr>
            <w:tcW w:w="17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val="false"/>
                <w:bCs w:val="false"/>
                <w:sz w:val="20"/>
                <w:szCs w:val="20"/>
                <w:shd w:fill="auto" w:val="clear"/>
              </w:rPr>
              <w:t xml:space="preserve">T4 </w:t>
            </w:r>
            <w:r>
              <w:rPr>
                <w:b w:val="false"/>
                <w:bCs w:val="false"/>
                <w:sz w:val="20"/>
                <w:szCs w:val="20"/>
                <w:shd w:fill="auto" w:val="clear"/>
              </w:rPr>
              <w:t>Anup Tumbalam Gooty</w:t>
            </w:r>
          </w:p>
        </w:tc>
        <w:tc>
          <w:tcPr>
            <w:tcW w:w="2499" w:type="dxa"/>
            <w:tcBorders>
              <w:top w:val="single" w:sz="2" w:space="0" w:color="9AA5B8"/>
              <w:left w:val="single" w:sz="2" w:space="0" w:color="9AA5B8"/>
              <w:bottom w:val="single" w:sz="2" w:space="0" w:color="9AA5B8"/>
              <w:right w:val="single" w:sz="2" w:space="0" w:color="9AA5B8"/>
            </w:tcBorders>
          </w:tcPr>
          <w:p>
            <w:pPr>
              <w:pStyle w:val="Normal"/>
              <w:spacing w:before="40" w:after="40"/>
              <w:rPr>
                <w:b w:val="false"/>
                <w:bCs w:val="false"/>
                <w:highlight w:val="none"/>
                <w:shd w:fill="auto" w:val="clear"/>
              </w:rPr>
            </w:pPr>
            <w:r>
              <w:rPr>
                <w:b w:val="false"/>
                <w:bCs w:val="false"/>
                <w:sz w:val="20"/>
                <w:szCs w:val="20"/>
                <w:shd w:fill="auto" w:val="clear"/>
              </w:rPr>
              <w:t>Aviation IT Service Delivery</w:t>
            </w:r>
          </w:p>
        </w:tc>
        <w:tc>
          <w:tcPr>
            <w:tcW w:w="2400" w:type="dxa"/>
            <w:tcBorders>
              <w:top w:val="single" w:sz="2" w:space="0" w:color="9AA5B8"/>
              <w:left w:val="single" w:sz="2" w:space="0" w:color="9AA5B8"/>
              <w:bottom w:val="single" w:sz="2" w:space="0" w:color="9AA5B8"/>
              <w:right w:val="single" w:sz="2" w:space="0" w:color="9AA5B8"/>
            </w:tcBorders>
          </w:tcPr>
          <w:p>
            <w:pPr>
              <w:pStyle w:val="Normal"/>
              <w:spacing w:before="40" w:after="40"/>
              <w:rPr>
                <w:b w:val="false"/>
                <w:bCs w:val="false"/>
                <w:highlight w:val="none"/>
                <w:shd w:fill="auto" w:val="clear"/>
              </w:rPr>
            </w:pPr>
            <w:r>
              <w:rPr>
                <w:b w:val="false"/>
                <w:bCs w:val="false"/>
                <w:sz w:val="20"/>
                <w:szCs w:val="20"/>
                <w:shd w:fill="auto" w:val="clear"/>
              </w:rPr>
              <w:t>Logistics Manager</w:t>
            </w:r>
          </w:p>
        </w:tc>
        <w:tc>
          <w:tcPr>
            <w:tcW w:w="2420" w:type="dxa"/>
            <w:tcBorders>
              <w:top w:val="single" w:sz="2" w:space="0" w:color="9AA5B8"/>
              <w:left w:val="single" w:sz="2" w:space="0" w:color="9AA5B8"/>
              <w:bottom w:val="single" w:sz="2" w:space="0" w:color="9AA5B8"/>
              <w:right w:val="single" w:sz="2" w:space="0" w:color="9AA5B8"/>
            </w:tcBorders>
          </w:tcPr>
          <w:p>
            <w:pPr>
              <w:pStyle w:val="Normal"/>
              <w:spacing w:before="40" w:after="40"/>
              <w:rPr>
                <w:b w:val="false"/>
                <w:bCs w:val="false"/>
                <w:highlight w:val="none"/>
                <w:shd w:fill="auto" w:val="clear"/>
              </w:rPr>
            </w:pPr>
            <w:r>
              <w:rPr>
                <w:b w:val="false"/>
                <w:bCs w:val="false"/>
                <w:sz w:val="20"/>
                <w:szCs w:val="20"/>
                <w:shd w:fill="auto" w:val="clear"/>
              </w:rPr>
              <w:t>Quality Assurance</w:t>
            </w:r>
          </w:p>
        </w:tc>
      </w:tr>
      <w:tr>
        <w:trPr/>
        <w:tc>
          <w:tcPr>
            <w:tcW w:w="1700" w:type="dxa"/>
            <w:tcBorders>
              <w:top w:val="single" w:sz="2" w:space="0" w:color="9AA5B8"/>
              <w:left w:val="single" w:sz="2" w:space="0" w:color="9AA5B8"/>
              <w:bottom w:val="single" w:sz="2" w:space="0" w:color="9AA5B8"/>
              <w:right w:val="single" w:sz="2" w:space="0" w:color="9AA5B8"/>
            </w:tcBorders>
          </w:tcPr>
          <w:p>
            <w:pPr>
              <w:pStyle w:val="Normal"/>
              <w:spacing w:before="40" w:after="40"/>
              <w:rPr>
                <w:highlight w:val="none"/>
                <w:shd w:fill="auto" w:val="clear"/>
              </w:rPr>
            </w:pPr>
            <w:r>
              <w:rPr>
                <w:b w:val="false"/>
                <w:bCs w:val="false"/>
                <w:sz w:val="20"/>
                <w:szCs w:val="20"/>
                <w:shd w:fill="auto" w:val="clear"/>
              </w:rPr>
              <w:t xml:space="preserve">T5 </w:t>
            </w:r>
            <w:r>
              <w:rPr>
                <w:b w:val="false"/>
                <w:bCs w:val="false"/>
                <w:sz w:val="20"/>
                <w:szCs w:val="20"/>
                <w:shd w:fill="auto" w:val="clear"/>
              </w:rPr>
              <w:t>Sui Lung Tang</w:t>
            </w:r>
          </w:p>
        </w:tc>
        <w:tc>
          <w:tcPr>
            <w:tcW w:w="2499" w:type="dxa"/>
            <w:tcBorders>
              <w:top w:val="single" w:sz="2" w:space="0" w:color="9AA5B8"/>
              <w:left w:val="single" w:sz="2" w:space="0" w:color="9AA5B8"/>
              <w:bottom w:val="single" w:sz="2" w:space="0" w:color="9AA5B8"/>
              <w:right w:val="single" w:sz="2" w:space="0" w:color="9AA5B8"/>
            </w:tcBorders>
          </w:tcPr>
          <w:p>
            <w:pPr>
              <w:pStyle w:val="Normal"/>
              <w:spacing w:before="40" w:after="40"/>
              <w:rPr>
                <w:b w:val="false"/>
                <w:bCs w:val="false"/>
                <w:highlight w:val="none"/>
                <w:shd w:fill="auto" w:val="clear"/>
              </w:rPr>
            </w:pPr>
            <w:r>
              <w:rPr>
                <w:b w:val="false"/>
                <w:bCs w:val="false"/>
                <w:sz w:val="20"/>
                <w:szCs w:val="20"/>
                <w:shd w:fill="auto" w:val="clear"/>
              </w:rPr>
              <w:t>Studying AI</w:t>
            </w:r>
          </w:p>
        </w:tc>
        <w:tc>
          <w:tcPr>
            <w:tcW w:w="2400" w:type="dxa"/>
            <w:tcBorders>
              <w:top w:val="single" w:sz="2" w:space="0" w:color="9AA5B8"/>
              <w:left w:val="single" w:sz="2" w:space="0" w:color="9AA5B8"/>
              <w:bottom w:val="single" w:sz="2" w:space="0" w:color="9AA5B8"/>
              <w:right w:val="single" w:sz="2" w:space="0" w:color="9AA5B8"/>
            </w:tcBorders>
          </w:tcPr>
          <w:p>
            <w:pPr>
              <w:pStyle w:val="Normal"/>
              <w:spacing w:before="40" w:after="40"/>
              <w:rPr>
                <w:b w:val="false"/>
                <w:bCs w:val="false"/>
                <w:highlight w:val="none"/>
                <w:shd w:fill="auto" w:val="clear"/>
              </w:rPr>
            </w:pPr>
            <w:r>
              <w:rPr>
                <w:b w:val="false"/>
                <w:bCs w:val="false"/>
                <w:sz w:val="20"/>
                <w:szCs w:val="20"/>
                <w:shd w:fill="auto" w:val="clear"/>
              </w:rPr>
              <w:t>Real Estate Agent</w:t>
            </w:r>
          </w:p>
        </w:tc>
        <w:tc>
          <w:tcPr>
            <w:tcW w:w="2420" w:type="dxa"/>
            <w:tcBorders>
              <w:top w:val="single" w:sz="2" w:space="0" w:color="9AA5B8"/>
              <w:left w:val="single" w:sz="2" w:space="0" w:color="9AA5B8"/>
              <w:bottom w:val="single" w:sz="2" w:space="0" w:color="9AA5B8"/>
              <w:right w:val="single" w:sz="2" w:space="0" w:color="9AA5B8"/>
            </w:tcBorders>
          </w:tcPr>
          <w:p>
            <w:pPr>
              <w:pStyle w:val="Normal"/>
              <w:spacing w:before="40" w:after="40"/>
              <w:rPr>
                <w:b w:val="false"/>
                <w:bCs w:val="false"/>
                <w:highlight w:val="none"/>
                <w:shd w:fill="auto" w:val="clear"/>
              </w:rPr>
            </w:pPr>
            <w:r>
              <w:rPr>
                <w:b w:val="false"/>
                <w:bCs w:val="false"/>
                <w:sz w:val="20"/>
                <w:szCs w:val="20"/>
                <w:shd w:fill="auto" w:val="clear"/>
              </w:rPr>
              <w:t>Risk Manager</w:t>
            </w:r>
          </w:p>
        </w:tc>
      </w:tr>
    </w:tbl>
    <w:p>
      <w:pPr>
        <w:pStyle w:val="Normal"/>
        <w:spacing w:before="0" w:after="120"/>
        <w:rPr/>
      </w:pPr>
      <w:r>
        <w:rPr/>
      </w:r>
    </w:p>
    <w:p>
      <w:pPr>
        <w:pStyle w:val="Normal"/>
        <w:spacing w:before="0" w:after="120"/>
        <w:rPr/>
      </w:pPr>
      <w:r>
        <w:rPr>
          <w:sz w:val="20"/>
          <w:szCs w:val="20"/>
        </w:rPr>
        <w:t>The Scrum Master role rotates each sprint so that every member leads planning, stand-ups and the sprint review at least once during the semester.</w:t>
      </w:r>
    </w:p>
    <w:p>
      <w:pPr>
        <w:pStyle w:val="Heading1"/>
        <w:spacing w:before="320" w:after="160"/>
        <w:rPr/>
      </w:pPr>
      <w:r>
        <w:rPr>
          <w:b/>
          <w:bCs/>
          <w:color w:val="1F3864"/>
          <w:sz w:val="26"/>
          <w:szCs w:val="26"/>
        </w:rPr>
        <w:t>11  Evidence of Delivery Capability to Date</w:t>
      </w:r>
    </w:p>
    <w:p>
      <w:pPr>
        <w:pStyle w:val="Normal"/>
        <w:spacing w:before="0" w:after="120"/>
        <w:rPr/>
      </w:pPr>
      <w:r>
        <w:rPr>
          <w:sz w:val="20"/>
          <w:szCs w:val="20"/>
        </w:rPr>
        <w:t>The following work has already been completed and can be demonstrated on request. It is offered as evidence that the schedule and budget in this tender are grounded in measured performance rather than estimation alone.</w:t>
      </w:r>
    </w:p>
    <w:tbl>
      <w:tblPr>
        <w:tblW w:w="9020" w:type="dxa"/>
        <w:jc w:val="left"/>
        <w:tblInd w:w="0" w:type="dxa"/>
        <w:tblLayout w:type="fixed"/>
        <w:tblCellMar>
          <w:top w:w="60" w:type="dxa"/>
          <w:left w:w="100" w:type="dxa"/>
          <w:bottom w:w="60" w:type="dxa"/>
          <w:right w:w="100" w:type="dxa"/>
        </w:tblCellMar>
      </w:tblPr>
      <w:tblGrid>
        <w:gridCol w:w="3000"/>
        <w:gridCol w:w="1999"/>
        <w:gridCol w:w="4021"/>
      </w:tblGrid>
      <w:tr>
        <w:trPr>
          <w:tblHeader w:val="true"/>
        </w:trPr>
        <w:tc>
          <w:tcPr>
            <w:tcW w:w="3000"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Evidence</w:t>
            </w:r>
          </w:p>
        </w:tc>
        <w:tc>
          <w:tcPr>
            <w:tcW w:w="1999"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Status</w:t>
            </w:r>
          </w:p>
        </w:tc>
        <w:tc>
          <w:tcPr>
            <w:tcW w:w="4021" w:type="dxa"/>
            <w:tcBorders>
              <w:top w:val="single" w:sz="2" w:space="0" w:color="9AA5B8"/>
              <w:left w:val="single" w:sz="2" w:space="0" w:color="9AA5B8"/>
              <w:bottom w:val="single" w:sz="2" w:space="0" w:color="9AA5B8"/>
              <w:right w:val="single" w:sz="2" w:space="0" w:color="9AA5B8"/>
            </w:tcBorders>
            <w:shd w:color="auto" w:fill="1F3864" w:val="clear"/>
          </w:tcPr>
          <w:p>
            <w:pPr>
              <w:pStyle w:val="Normal"/>
              <w:spacing w:before="40" w:after="40"/>
              <w:rPr/>
            </w:pPr>
            <w:r>
              <w:rPr>
                <w:b/>
                <w:bCs/>
                <w:color w:val="FFFFFF"/>
                <w:sz w:val="20"/>
                <w:szCs w:val="20"/>
              </w:rPr>
              <w:t>Verification</w:t>
            </w:r>
          </w:p>
        </w:tc>
      </w:tr>
      <w:tr>
        <w:trPr/>
        <w:tc>
          <w:tcPr>
            <w:tcW w:w="30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Dockerised Moodle development environment running locally</w:t>
            </w:r>
          </w:p>
        </w:tc>
        <w:tc>
          <w:tcPr>
            <w:tcW w:w="19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Complete</w:t>
            </w:r>
          </w:p>
        </w:tc>
        <w:tc>
          <w:tcPr>
            <w:tcW w:w="40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Live demonstration; documented start and seed procedure in the repository.</w:t>
            </w:r>
          </w:p>
        </w:tc>
      </w:tr>
      <w:tr>
        <w:trPr/>
        <w:tc>
          <w:tcPr>
            <w:tcW w:w="30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Rubric-fill extraction path proven</w:t>
            </w:r>
          </w:p>
        </w:tc>
        <w:tc>
          <w:tcPr>
            <w:tcW w:w="19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Complete</w:t>
            </w:r>
          </w:p>
        </w:tc>
        <w:tc>
          <w:tcPr>
            <w:tcW w:w="40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Working join through grading_instances.itemid demonstrated against seeded rubric data.</w:t>
            </w:r>
          </w:p>
        </w:tc>
      </w:tr>
      <w:tr>
        <w:trPr/>
        <w:tc>
          <w:tcPr>
            <w:tcW w:w="30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Structured requirements document derived from the recorded project-owner meeting</w:t>
            </w:r>
          </w:p>
        </w:tc>
        <w:tc>
          <w:tcPr>
            <w:tcW w:w="19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Complete</w:t>
            </w:r>
          </w:p>
        </w:tc>
        <w:tc>
          <w:tcPr>
            <w:tcW w:w="40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Nine functional requirement groups and eight non-functional requirements, traceable to the recording.</w:t>
            </w:r>
          </w:p>
        </w:tc>
      </w:tr>
      <w:tr>
        <w:trPr/>
        <w:tc>
          <w:tcPr>
            <w:tcW w:w="30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Six-sprint delivery plan fitting the nine-week teaching envelope</w:t>
            </w:r>
          </w:p>
        </w:tc>
        <w:tc>
          <w:tcPr>
            <w:tcW w:w="19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Complete</w:t>
            </w:r>
          </w:p>
        </w:tc>
        <w:tc>
          <w:tcPr>
            <w:tcW w:w="40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Sprint goals expressed as observable outcomes; Sprint 6 deliberately held as contingency.</w:t>
            </w:r>
          </w:p>
        </w:tc>
      </w:tr>
      <w:tr>
        <w:trPr/>
        <w:tc>
          <w:tcPr>
            <w:tcW w:w="30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Trade show presentation delivered to a public audience</w:t>
            </w:r>
          </w:p>
        </w:tc>
        <w:tc>
          <w:tcPr>
            <w:tcW w:w="19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Complete</w:t>
            </w:r>
          </w:p>
        </w:tc>
        <w:tc>
          <w:tcPr>
            <w:tcW w:w="40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Week 4 milestone; booth materials and question-and-answer session recorded.</w:t>
            </w:r>
          </w:p>
        </w:tc>
      </w:tr>
      <w:tr>
        <w:trPr/>
        <w:tc>
          <w:tcPr>
            <w:tcW w:w="3000"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Jira backlog and GitHub workflow operating</w:t>
            </w:r>
          </w:p>
        </w:tc>
        <w:tc>
          <w:tcPr>
            <w:tcW w:w="1999" w:type="dxa"/>
            <w:tcBorders>
              <w:top w:val="single" w:sz="2" w:space="0" w:color="9AA5B8"/>
              <w:left w:val="single" w:sz="2" w:space="0" w:color="9AA5B8"/>
              <w:bottom w:val="single" w:sz="2" w:space="0" w:color="9AA5B8"/>
              <w:right w:val="single" w:sz="2" w:space="0" w:color="9AA5B8"/>
            </w:tcBorders>
          </w:tcPr>
          <w:p>
            <w:pPr>
              <w:pStyle w:val="Normal"/>
              <w:spacing w:before="40" w:after="40"/>
              <w:rPr/>
            </w:pPr>
            <w:r>
              <w:rPr>
                <w:b w:val="false"/>
                <w:bCs w:val="false"/>
                <w:sz w:val="20"/>
                <w:szCs w:val="20"/>
              </w:rPr>
              <w:t>Complete</w:t>
            </w:r>
          </w:p>
        </w:tc>
        <w:tc>
          <w:tcPr>
            <w:tcW w:w="4021" w:type="dxa"/>
            <w:tcBorders>
              <w:top w:val="single" w:sz="2" w:space="0" w:color="9AA5B8"/>
              <w:left w:val="single" w:sz="2" w:space="0" w:color="9AA5B8"/>
              <w:bottom w:val="single" w:sz="2" w:space="0" w:color="9AA5B8"/>
              <w:right w:val="single" w:sz="2" w:space="0" w:color="9AA5B8"/>
            </w:tcBorders>
          </w:tcPr>
          <w:p>
            <w:pPr>
              <w:pStyle w:val="Normal"/>
              <w:spacing w:before="40" w:after="40"/>
              <w:rPr/>
            </w:pPr>
            <w:hyperlink r:id="rId5">
              <w:r>
                <w:rPr>
                  <w:rStyle w:val="Hyperlink"/>
                  <w:b/>
                  <w:bCs/>
                  <w:sz w:val="20"/>
                  <w:szCs w:val="20"/>
                  <w:shd w:fill="auto" w:val="clear"/>
                </w:rPr>
                <w:t>https://github.com/yetanotherpassword/LearningJourneyAssistant</w:t>
              </w:r>
            </w:hyperlink>
          </w:p>
          <w:p>
            <w:pPr>
              <w:pStyle w:val="Normal"/>
              <w:spacing w:before="40" w:after="40"/>
              <w:rPr/>
            </w:pPr>
            <w:hyperlink r:id="rId6">
              <w:r>
                <w:rPr>
                  <w:rStyle w:val="Hyperlink"/>
                  <w:b/>
                  <w:bCs/>
                  <w:sz w:val="20"/>
                  <w:szCs w:val="20"/>
                  <w:shd w:fill="auto" w:val="clear"/>
                </w:rPr>
                <w:t>https://latrobecomsci.atlassian.net/jira/software/projects/IOLG/boards/2326/backlog</w:t>
              </w:r>
            </w:hyperlink>
            <w:r>
              <w:rPr>
                <w:b/>
                <w:bCs/>
                <w:sz w:val="20"/>
                <w:szCs w:val="20"/>
                <w:shd w:fill="auto" w:val="clear"/>
              </w:rPr>
              <w:t xml:space="preserve"> </w:t>
            </w:r>
          </w:p>
        </w:tc>
      </w:tr>
    </w:tbl>
    <w:sectPr>
      <w:type w:val="nextPage"/>
      <w:pgSz w:w="11906" w:h="16838"/>
      <w:pgMar w:left="1440" w:right="144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roman"/>
    <w:pitch w:val="variable"/>
  </w:font>
  <w:font w:name="Liberation Sans">
    <w:altName w:val="Arial"/>
    <w:charset w:val="01"/>
    <w:family w:val="swiss"/>
    <w:pitch w:val="variable"/>
  </w:font>
  <w:font w:name="Consolas">
    <w:charset w:val="01"/>
    <w:family w:val="roman"/>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DefaultParagraphFont">
    <w:name w:val="Default Paragraph Font"/>
    <w:qFormat/>
    <w:rPr/>
  </w:style>
  <w:style w:type="character" w:styleId="Heading1Char1">
    <w:name w:val="Heading 1 Char1"/>
    <w:basedOn w:val="DefaultParagraphFont"/>
    <w:qFormat/>
    <w:rPr>
      <w:rFonts w:ascii="Arial" w:hAnsi="Arial" w:cs="Arial"/>
      <w:b/>
      <w:bCs/>
      <w:kern w:val="2"/>
      <w:sz w:val="32"/>
      <w:szCs w:val="32"/>
      <w:lang w:val="en-AU" w:eastAsia="en-AU" w:bidi="ar-SA"/>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0"/>
      <w:szCs w:val="20"/>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21206266@students.latrobe.edu.au" TargetMode="External"/><Relationship Id="rId4" Type="http://schemas.openxmlformats.org/officeDocument/2006/relationships/hyperlink" Target="https://github.com/yetanotherpassword/LearningJourneyAssistant" TargetMode="External"/><Relationship Id="rId5" Type="http://schemas.openxmlformats.org/officeDocument/2006/relationships/hyperlink" Target="" TargetMode="External"/><Relationship Id="rId6" Type="http://schemas.openxmlformats.org/officeDocument/2006/relationships/hyperlink" Target="https://latrobecomsci.atlassian.net/jira/software/projects/IOLG/boards/2326/backlog" TargetMode="Externa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TotalTime>
  <Application>LibreOffice/24.2.7.2$Linux_X86_64 LibreOffice_project/420$Build-2</Application>
  <AppVersion>15.0000</AppVersion>
  <Pages>17</Pages>
  <Words>4136</Words>
  <Characters>25925</Characters>
  <CharactersWithSpaces>29571</CharactersWithSpaces>
  <Paragraphs>519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2026-08-23T11:30:46Z</dcterms:created>
  <dc:creator>Un-named</dc:creator>
  <dc:description/>
  <dc:language>en-US</dc:language>
  <cp:lastModifiedBy/>
  <dcterms:modified xsi:type="dcterms:W3CDTF">2026-08-23T23:32:39Z</dcterms:modified>
  <cp:revision>3</cp:revision>
  <dc:subject/>
  <dc:title/>
</cp:coreProperties>
</file>