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9.png" ContentType="image/png"/>
  <Override PartName="/word/media/rId81.png" ContentType="image/png"/>
  <Override PartName="/word/media/rId96.png" ContentType="image/png"/>
  <Override PartName="/word/media/rId99.png" ContentType="image/png"/>
  <Override PartName="/word/media/rId117.png" ContentType="image/png"/>
  <Override PartName="/word/media/rId92.png" ContentType="image/png"/>
  <Override PartName="/word/media/rId89.png" ContentType="image/png"/>
  <Override PartName="/word/media/rId85.png" ContentType="image/png"/>
  <Override PartName="/word/media/rId77.png" ContentType="image/png"/>
  <Override PartName="/word/media/rId106.png" ContentType="image/png"/>
  <Override PartName="/word/media/rId103.png" ContentType="image/png"/>
  <Override PartName="/word/media/rId11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0.5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f07f47e</w:t>
            </w:r>
            <w:r>
              <w:t xml:space="preserve"> </w:t>
            </w:r>
            <w:r>
              <w:t xml:space="preserve">(2 Oct 2026), which includes the practice quiz (IOLG-136) and the subject sequence and chain (IOLG-106); the earlier</w:t>
            </w:r>
            <w:r>
              <w:t xml:space="preserve"> </w:t>
            </w:r>
            <w:r>
              <w:rPr>
                <w:bCs/>
                <w:b/>
              </w:rPr>
              <w:t xml:space="preserve">(PR #52)</w:t>
            </w:r>
            <w:r>
              <w:t xml:space="preserve"> </w:t>
            </w:r>
            <w:r>
              <w:t xml:space="preserve">and</w:t>
            </w:r>
            <w:r>
              <w:t xml:space="preserve"> </w:t>
            </w:r>
            <w:r>
              <w:rPr>
                <w:bCs/>
                <w:b/>
              </w:rPr>
              <w:t xml:space="preserve">(IOLG-106)</w:t>
            </w:r>
            <w:r>
              <w:t xml:space="preserve"> </w:t>
            </w:r>
            <w:r>
              <w:t xml:space="preserve">marks are kept as history. The Generate buttons, on the IOLG-137 branch this revision ships with, are marked</w:t>
            </w:r>
            <w:r>
              <w:t xml:space="preserve"> </w:t>
            </w:r>
            <w:r>
              <w:rPr>
                <w:bCs/>
                <w:b/>
              </w:rPr>
              <w:t xml:space="preserve">(IOLG-137)</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 Provenance page prints the values a particular run actually used.</w:t>
      </w:r>
    </w:p>
    <w:p>
      <w:r>
        <w:pict>
          <v:rect style="width:0;height:1.5pt" o:hralign="center" o:hrstd="t" o:hr="t"/>
        </w:pict>
      </w:r>
    </w:p>
    <w:bookmarkEnd w:id="20"/>
    <w:bookmarkEnd w:id="21"/>
    <w:bookmarkStart w:id="57"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6"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bookmarkEnd w:id="51"/>
    <w:bookmarkStart w:id="55" w:name="Xae59ed6b94677cc64404008cc17520f1813b67f"/>
    <w:p>
      <w:pPr>
        <w:pStyle w:val="Heading3"/>
      </w:pPr>
      <w:r>
        <w:t xml:space="preserve">4.5 Progress along the sequence: a trajectory (IOLG-106)</w:t>
      </w:r>
    </w:p>
    <w:p>
      <w:pPr>
        <w:pStyle w:val="FirstParagraph"/>
      </w:pPr>
      <w:r>
        <w:t xml:space="preserve">The three students above are each a snapshot: one number per competency, and a verdict. The product also has to answer the question the project owner put first,</w:t>
      </w:r>
      <w:r>
        <w:t xml:space="preserve"> </w:t>
      </w:r>
      <w:r>
        <w:t xml:space="preserve">“</w:t>
      </w:r>
      <w:r>
        <w:t xml:space="preserve">a gap in first year, consequence in third year</w:t>
      </w:r>
      <w:r>
        <w:t xml:space="preserve">”</w:t>
      </w:r>
      <w:r>
        <w:t xml:space="preserve">: is a weakness recurring as the student moves through the degree, and where will it be assessed next? The object that answers it is a</w:t>
      </w:r>
      <w:r>
        <w:t xml:space="preserve"> </w:t>
      </w:r>
      <w:r>
        <w:rPr>
          <w:bCs/>
          <w:b/>
        </w:rPr>
        <w:t xml:space="preserve">trajectory</w:t>
      </w:r>
      <w:r>
        <w:t xml:space="preserve">.</w:t>
      </w:r>
    </w:p>
    <w:p>
      <w:pPr>
        <w:pStyle w:val="BodyText"/>
      </w:pPr>
      <w:r>
        <w:t xml:space="preserve">A trajectory takes one student and one competency, finds every subject whose outcomes belong to that competency, and lines them up in the order the degree intends them to be taken. For each subject the student has sat it carries their attainment there (the same per-subject figure as the gap card’s evidence table); each subject they have not sat is placed where it will come, marked</w:t>
      </w:r>
      <w:r>
        <w:t xml:space="preserve"> </w:t>
      </w:r>
      <w:r>
        <w:rPr>
          <w:bCs/>
          <w:b/>
        </w:rPr>
        <w:t xml:space="preserve">ahead</w:t>
      </w:r>
      <w:r>
        <w:t xml:space="preserve">. The trend compares the first and last subjects sat: more than a set number of points up is</w:t>
      </w:r>
      <w:r>
        <w:t xml:space="preserve"> </w:t>
      </w:r>
      <w:r>
        <w:rPr>
          <w:iCs/>
          <w:i/>
        </w:rPr>
        <w:t xml:space="preserve">improving</w:t>
      </w:r>
      <w:r>
        <w:t xml:space="preserve">, more than that down is</w:t>
      </w:r>
      <w:r>
        <w:t xml:space="preserve"> </w:t>
      </w:r>
      <w:r>
        <w:rPr>
          <w:iCs/>
          <w:i/>
        </w:rPr>
        <w:t xml:space="preserve">declining</w:t>
      </w:r>
      <w:r>
        <w:t xml:space="preserve">, anything inside the band is</w:t>
      </w:r>
      <w:r>
        <w:t xml:space="preserve"> </w:t>
      </w:r>
      <w:r>
        <w:rPr>
          <w:iCs/>
          <w:i/>
        </w:rPr>
        <w:t xml:space="preserve">stable</w:t>
      </w:r>
      <w:r>
        <w:t xml:space="preserve">, and fewer than two subjects is</w:t>
      </w:r>
      <w:r>
        <w:t xml:space="preserve"> </w:t>
      </w:r>
      <w:r>
        <w:rPr>
          <w:iCs/>
          <w:i/>
        </w:rPr>
        <w:t xml:space="preserve">insufficient evidence</w:t>
      </w:r>
      <w:r>
        <w:t xml:space="preserve">. The band is 5 points by default (§5.2) and, like the seven thresholds, is a proposal rather than a ratified value.</w:t>
      </w:r>
    </w:p>
    <w:p>
      <w:pPr>
        <w:pStyle w:val="BodyText"/>
      </w:pPr>
      <w:r>
        <w:drawing>
          <wp:inline>
            <wp:extent cx="5334000" cy="2607733"/>
            <wp:effectExtent b="0" l="0" r="0" t="0"/>
            <wp:docPr descr="" title="" id="53" name="Picture"/>
            <a:graphic>
              <a:graphicData uri="http://schemas.openxmlformats.org/drawingml/2006/picture">
                <pic:pic>
                  <pic:nvPicPr>
                    <pic:cNvPr descr="diagrams/15-trajectory-STU0834.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iCs/>
          <w:i/>
        </w:rPr>
        <w:t xml:space="preserve">Figure 5b: STU0834’s trajectory in Expressing mathematical arguments, from the 100-subject cohort. Four first-year maths subjects sat, 61% down to 49%, with the last below the floor; two second-year maths subjects ahead. Competency attainment 59.2% is a persistent gap by relative position. The dashboard shows the same thing as a row of chips on the gap card (§16).</w:t>
      </w:r>
    </w:p>
    <w:p>
      <w:pPr>
        <w:pStyle w:val="BodyText"/>
      </w:pPr>
      <w:r>
        <w:t xml:space="preserve">Three things to read off the figure, because they are the three things the chain on the gap card is for:</w:t>
      </w:r>
    </w:p>
    <w:p>
      <w:pPr>
        <w:pStyle w:val="Compact"/>
        <w:numPr>
          <w:ilvl w:val="0"/>
          <w:numId w:val="1008"/>
        </w:numPr>
      </w:pPr>
      <w:r>
        <w:rPr>
          <w:bCs/>
          <w:b/>
        </w:rPr>
        <w:t xml:space="preserve">The shape.</w:t>
      </w:r>
      <w:r>
        <w:t xml:space="preserve"> </w:t>
      </w:r>
      <w:r>
        <w:t xml:space="preserve">Four marks that drift down across first year are a different story from one bad mark, and the verdict (persistent gap, by relative position) is the same either way. The chain shows which story it is.</w:t>
      </w:r>
    </w:p>
    <w:p>
      <w:pPr>
        <w:pStyle w:val="Compact"/>
        <w:numPr>
          <w:ilvl w:val="0"/>
          <w:numId w:val="1008"/>
        </w:numPr>
      </w:pPr>
      <w:r>
        <w:rPr>
          <w:bCs/>
          <w:b/>
        </w:rPr>
        <w:t xml:space="preserve">Where it comes next.</w:t>
      </w:r>
      <w:r>
        <w:t xml:space="preserve"> </w:t>
      </w:r>
      <w:r>
        <w:t xml:space="preserve">MAT2LAL and MAT2VCA are ahead, and they assess this competency. That makes the break before second year the moment to work on it, with the learning plan and study strategy (§9) saying what and how. The dashboard labels those subjects</w:t>
      </w:r>
      <w:r>
        <w:t xml:space="preserve"> </w:t>
      </w:r>
      <w:r>
        <w:t xml:space="preserve">“</w:t>
      </w:r>
      <w:r>
        <w:t xml:space="preserve">ahead · prepare</w:t>
      </w:r>
      <w:r>
        <w:t xml:space="preserve">”</w:t>
      </w:r>
      <w:r>
        <w:t xml:space="preserve">.</w:t>
      </w:r>
    </w:p>
    <w:p>
      <w:pPr>
        <w:pStyle w:val="Compact"/>
        <w:numPr>
          <w:ilvl w:val="0"/>
          <w:numId w:val="1008"/>
        </w:numPr>
      </w:pPr>
      <w:r>
        <w:rPr>
          <w:bCs/>
          <w:b/>
        </w:rPr>
        <w:t xml:space="preserve">What it is not.</w:t>
      </w:r>
      <w:r>
        <w:t xml:space="preserve"> </w:t>
      </w:r>
      <w:r>
        <w:t xml:space="preserve">A forecast. Four marks are an ordering, not a slope, and the hollow markers have no value; their height on the chart is only where the eye lands.</w:t>
      </w:r>
      <w:r>
        <w:t xml:space="preserve"> </w:t>
      </w:r>
      <w:r>
        <w:t xml:space="preserve">“</w:t>
      </w:r>
      <w:r>
        <w:t xml:space="preserve">Ahead</w:t>
      </w:r>
      <w:r>
        <w:t xml:space="preserve">”</w:t>
      </w:r>
      <w:r>
        <w:t xml:space="preserve"> </w:t>
      </w:r>
      <w:r>
        <w:t xml:space="preserve">means the competency is assessed there, never that the student should or should not enrol: subject choice is an academic decision whose rules the system does not hold.</w:t>
      </w:r>
    </w:p>
    <w:p>
      <w:pPr>
        <w:pStyle w:val="FirstParagraph"/>
      </w:pPr>
      <w:r>
        <w:rPr>
          <w:bCs/>
          <w:b/>
        </w:rPr>
        <w:t xml:space="preserve">Where the order comes from.</w:t>
      </w:r>
      <w:r>
        <w:t xml:space="preserve"> </w:t>
      </w:r>
      <w:r>
        <w:t xml:space="preserve">The intended sequence is declared in one setting,</w:t>
      </w:r>
      <w:r>
        <w:t xml:space="preserve"> </w:t>
      </w:r>
      <w:r>
        <w:rPr>
          <w:rStyle w:val="VerbatimChar"/>
        </w:rPr>
        <w:t xml:space="preserve">LJA_SUBJECT_SEQUENCE</w:t>
      </w:r>
      <w:r>
        <w:t xml:space="preserve"> </w:t>
      </w:r>
      <w:r>
        <w:t xml:space="preserve">(§5.2); that is where the project owner’s course map goes when one is supplied. A subject not in it is placed by the year digit in its code, and subjects in the same year have no order between them, so in the figure the four first-year subjects are alphabetical. Every trajectory states which rule placed it (</w:t>
      </w:r>
      <w:r>
        <w:t xml:space="preserve">“</w:t>
      </w:r>
      <w:r>
        <w:t xml:space="preserve">order: declared sequence</w:t>
      </w:r>
      <w:r>
        <w:t xml:space="preserve">”</w:t>
      </w:r>
      <w:r>
        <w:t xml:space="preserve">,</w:t>
      </w:r>
      <w:r>
        <w:t xml:space="preserve"> </w:t>
      </w:r>
      <w:r>
        <w:t xml:space="preserve">“</w:t>
      </w:r>
      <w:r>
        <w:t xml:space="preserve">year digit</w:t>
      </w:r>
      <w:r>
        <w:t xml:space="preserve">”</w:t>
      </w:r>
      <w:r>
        <w:t xml:space="preserve">,</w:t>
      </w:r>
      <w:r>
        <w:t xml:space="preserve"> </w:t>
      </w:r>
      <w:r>
        <w:t xml:space="preserve">“</w:t>
      </w:r>
      <w:r>
        <w:t xml:space="preserve">mixed</w:t>
      </w:r>
      <w:r>
        <w:t xml:space="preserve">”</w:t>
      </w:r>
      <w:r>
        <w:t xml:space="preserve"> </w:t>
      </w:r>
      <w:r>
        <w:t xml:space="preserve">or</w:t>
      </w:r>
      <w:r>
        <w:t xml:space="preserve"> </w:t>
      </w:r>
      <w:r>
        <w:t xml:space="preserve">“</w:t>
      </w:r>
      <w:r>
        <w:t xml:space="preserve">none</w:t>
      </w:r>
      <w:r>
        <w:t xml:space="preserve">”</w:t>
      </w:r>
      <w:r>
        <w:t xml:space="preserve">), in the same spirit as every gap stating its classification basis. The data carries no dates, so this is order, not time, and every page that shows a trajectory says so.</w:t>
      </w:r>
    </w:p>
    <w:p>
      <w:pPr>
        <w:pStyle w:val="BodyText"/>
      </w:pPr>
      <w:r>
        <w:rPr>
          <w:bCs/>
          <w:b/>
        </w:rPr>
        <w:t xml:space="preserve">A caveat on large cohorts.</w:t>
      </w:r>
      <w:r>
        <w:t xml:space="preserve"> </w:t>
      </w:r>
      <w:r>
        <w:t xml:space="preserve">Without a course map,</w:t>
      </w:r>
      <w:r>
        <w:t xml:space="preserve"> </w:t>
      </w:r>
      <w:r>
        <w:t xml:space="preserve">“</w:t>
      </w:r>
      <w:r>
        <w:t xml:space="preserve">ahead</w:t>
      </w:r>
      <w:r>
        <w:t xml:space="preserve">”</w:t>
      </w:r>
      <w:r>
        <w:t xml:space="preserve"> </w:t>
      </w:r>
      <w:r>
        <w:t xml:space="preserve">means every subject in the competency the student has no results in. On the three-subject workbook that is exact. On the 100-subject cohort a competency such as scientific communication spans fifteen subjects across seven degrees, so a biochemistry student’s chain lists agriculture and engineering subjects they will never take, and a second-year student’s chain can show a first-year subject they skipped as</w:t>
      </w:r>
      <w:r>
        <w:t xml:space="preserve"> </w:t>
      </w:r>
      <w:r>
        <w:t xml:space="preserve">“</w:t>
      </w:r>
      <w:r>
        <w:t xml:space="preserve">ahead</w:t>
      </w:r>
      <w:r>
        <w:t xml:space="preserve">”</w:t>
      </w:r>
      <w:r>
        <w:t xml:space="preserve">. The chain is still correct about where the competency is assessed; it is not yet filtered to the student’s own degree. That filter is what the course map provides, and until it is supplied the chain should be read as</w:t>
      </w:r>
      <w:r>
        <w:t xml:space="preserve"> </w:t>
      </w:r>
      <w:r>
        <w:t xml:space="preserve">“</w:t>
      </w:r>
      <w:r>
        <w:t xml:space="preserve">subjects that assess this</w:t>
      </w:r>
      <w:r>
        <w:t xml:space="preserve">”</w:t>
      </w:r>
      <w:r>
        <w:t xml:space="preserve">, not</w:t>
      </w:r>
      <w:r>
        <w:t xml:space="preserve"> </w:t>
      </w:r>
      <w:r>
        <w:t xml:space="preserve">“</w:t>
      </w:r>
      <w:r>
        <w:t xml:space="preserve">your next subjects</w:t>
      </w:r>
      <w:r>
        <w:t xml:space="preserve">”</w:t>
      </w:r>
      <w:r>
        <w:t xml:space="preserve">.</w:t>
      </w:r>
    </w:p>
    <w:p>
      <w:r>
        <w:pict>
          <v:rect style="width:0;height:1.5pt" o:hralign="center" o:hrstd="t" o:hr="t"/>
        </w:pict>
      </w:r>
    </w:p>
    <w:p>
      <w:r>
        <w:pict>
          <v:rect style="width:0;height:1.5pt" o:hralign="center" o:hrstd="t" o:hr="t"/>
        </w:pict>
      </w:r>
    </w:p>
    <w:bookmarkEnd w:id="55"/>
    <w:bookmarkEnd w:id="56"/>
    <w:bookmarkEnd w:id="57"/>
    <w:bookmarkStart w:id="75"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61" w:name="before-you-start"/>
    <w:p>
      <w:pPr>
        <w:pStyle w:val="Heading2"/>
      </w:pPr>
      <w:r>
        <w:t xml:space="preserve">5. Before you start</w:t>
      </w:r>
    </w:p>
    <w:bookmarkStart w:id="58"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8"/>
    <w:bookmarkStart w:id="59"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 Provenance.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LJA_DASHBOARD_GENERATE</w:t>
            </w:r>
            <w:r>
              <w:t xml:space="preserve"> </w:t>
            </w:r>
            <w:r>
              <w:rPr>
                <w:bCs/>
                <w:b/>
              </w:rPr>
              <w:t xml:space="preserve">(IOLG-137)</w:t>
            </w:r>
          </w:p>
        </w:tc>
        <w:tc>
          <w:tcPr/>
          <w:p>
            <w:pPr>
              <w:pStyle w:val="Compact"/>
              <w:jc w:val="left"/>
            </w:pPr>
            <w:r>
              <w:t xml:space="preserve">off</w:t>
            </w:r>
          </w:p>
        </w:tc>
        <w:tc>
          <w:tcPr/>
          <w:p>
            <w:pPr>
              <w:pStyle w:val="Compact"/>
              <w:jc w:val="left"/>
            </w:pPr>
            <w:r>
              <w:rPr>
                <w:rStyle w:val="VerbatimChar"/>
              </w:rPr>
              <w:t xml:space="preserve">1</w:t>
            </w:r>
            <w:r>
              <w:t xml:space="preserve"> </w:t>
            </w:r>
            <w:r>
              <w:t xml:space="preserve">puts Generate buttons for plans and quizzes on each student’s page (§16). Each press costs language-model calls, and the dashboard has no login, so this is off unless you turn it on. Same as starting with</w:t>
            </w:r>
            <w:r>
              <w:t xml:space="preserve"> </w:t>
            </w:r>
            <w:r>
              <w:rPr>
                <w:rStyle w:val="VerbatimChar"/>
              </w:rPr>
              <w:t xml:space="preserve">--allow-generate</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9"/>
    <w:bookmarkStart w:id="60"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60"/>
    <w:bookmarkEnd w:id="61"/>
    <w:bookmarkStart w:id="62"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9"/>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 Provenance page calls this the flagged approximation, and the SMD documents it.</w:t>
      </w:r>
    </w:p>
    <w:p>
      <w:pPr>
        <w:pStyle w:val="Compact"/>
        <w:numPr>
          <w:ilvl w:val="0"/>
          <w:numId w:val="1009"/>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62"/>
    <w:bookmarkStart w:id="66"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63"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63"/>
    <w:bookmarkStart w:id="64"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4"/>
    <w:bookmarkStart w:id="65"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 Provenance 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5"/>
    <w:bookmarkEnd w:id="66"/>
    <w:bookmarkStart w:id="67"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7"/>
    <w:bookmarkStart w:id="68"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8"/>
    <w:bookmarkStart w:id="69"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9"/>
    <w:bookmarkStart w:id="73"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70"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 Provenance 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70"/>
    <w:bookmarkStart w:id="71"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71"/>
    <w:bookmarkStart w:id="72"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72"/>
    <w:bookmarkEnd w:id="73"/>
    <w:bookmarkStart w:id="74"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4"/>
    <w:bookmarkEnd w:id="75"/>
    <w:bookmarkStart w:id="123"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 Provenance 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6"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Add</w:t>
      </w:r>
      <w:r>
        <w:t xml:space="preserve"> </w:t>
      </w:r>
      <w:r>
        <w:rPr>
          <w:rStyle w:val="VerbatimChar"/>
        </w:rPr>
        <w:t xml:space="preserve">--allow-generate</w:t>
      </w:r>
      <w:r>
        <w:t xml:space="preserve"> </w:t>
      </w:r>
      <w:r>
        <w:t xml:space="preserve">to get Generate buttons for plans and quizzes on the student pages</w:t>
      </w:r>
      <w:r>
        <w:t xml:space="preserve"> </w:t>
      </w:r>
      <w:r>
        <w:rPr>
          <w:bCs/>
          <w:b/>
        </w:rPr>
        <w:t xml:space="preserve">(IOLG-137)</w:t>
      </w:r>
      <w:r>
        <w:t xml:space="preserve">; see §16 for what they do and §5.2 for why they are off by default.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Provenance</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10"/>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10"/>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10"/>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10"/>
        </w:numPr>
      </w:pPr>
      <w:r>
        <w:rPr>
          <w:bCs/>
          <w:b/>
        </w:rPr>
        <w:t xml:space="preserve">Sortable headings.</w:t>
      </w:r>
      <w:r>
        <w:t xml:space="preserve"> </w:t>
      </w:r>
      <w:r>
        <w:t xml:space="preserve">Click a column heading to sort by it; click again to reverse.</w:t>
      </w:r>
    </w:p>
    <w:p>
      <w:pPr>
        <w:pStyle w:val="Compact"/>
        <w:numPr>
          <w:ilvl w:val="0"/>
          <w:numId w:val="1010"/>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10"/>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6"/>
    <w:bookmarkStart w:id="80"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8" name="Picture"/>
            <a:graphic>
              <a:graphicData uri="http://schemas.openxmlformats.org/drawingml/2006/picture">
                <pic:pic>
                  <pic:nvPicPr>
                    <pic:cNvPr descr="diagrams/14-page-students.png" id="79" name="Picture"/>
                    <pic:cNvPicPr>
                      <a:picLocks noChangeArrowheads="1" noChangeAspect="1"/>
                    </pic:cNvPicPr>
                  </pic:nvPicPr>
                  <pic:blipFill>
                    <a:blip r:embed="rId77"/>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1"/>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1"/>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1"/>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1"/>
        </w:numPr>
      </w:pPr>
      <w:r>
        <w:rPr>
          <w:bCs/>
          <w:b/>
        </w:rPr>
        <w:t xml:space="preserve">Competency classifications.</w:t>
      </w:r>
      <w:r>
        <w:t xml:space="preserve"> </w:t>
      </w:r>
      <w:r>
        <w:t xml:space="preserve">The share of every student × competency pair in each of the four classes.</w:t>
      </w:r>
    </w:p>
    <w:p>
      <w:pPr>
        <w:pStyle w:val="Compact"/>
        <w:numPr>
          <w:ilvl w:val="0"/>
          <w:numId w:val="1011"/>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1"/>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1"/>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80"/>
    <w:bookmarkStart w:id="84"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82" name="Picture"/>
            <a:graphic>
              <a:graphicData uri="http://schemas.openxmlformats.org/drawingml/2006/picture">
                <pic:pic>
                  <pic:nvPicPr>
                    <pic:cNvPr descr="diagrams/14-page-cohort-priority-1.png" id="83" name="Picture"/>
                    <pic:cNvPicPr>
                      <a:picLocks noChangeArrowheads="1" noChangeAspect="1"/>
                    </pic:cNvPicPr>
                  </pic:nvPicPr>
                  <pic:blipFill>
                    <a:blip r:embed="rId81"/>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4"/>
    <w:bookmarkStart w:id="88"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6" name="Picture"/>
            <a:graphic>
              <a:graphicData uri="http://schemas.openxmlformats.org/drawingml/2006/picture">
                <pic:pic>
                  <pic:nvPicPr>
                    <pic:cNvPr descr="diagrams/14-page-student.png" id="87" name="Picture"/>
                    <pic:cNvPicPr>
                      <a:picLocks noChangeArrowheads="1" noChangeAspect="1"/>
                    </pic:cNvPicPr>
                  </pic:nvPicPr>
                  <pic:blipFill>
                    <a:blip r:embed="rId85"/>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2"/>
        </w:numPr>
      </w:pPr>
      <w:r>
        <w:rPr>
          <w:bCs/>
          <w:b/>
        </w:rPr>
        <w:t xml:space="preserve">Attainment by competency.</w:t>
      </w:r>
      <w:r>
        <w:t xml:space="preserve"> </w:t>
      </w:r>
      <w:r>
        <w:t xml:space="preserve">One bar per competency, coloured by classification.</w:t>
      </w:r>
    </w:p>
    <w:p>
      <w:pPr>
        <w:pStyle w:val="Compact"/>
        <w:numPr>
          <w:ilvl w:val="0"/>
          <w:numId w:val="1012"/>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 with this run’s workbook filled in.</w:t>
      </w:r>
    </w:p>
    <w:p>
      <w:pPr>
        <w:pStyle w:val="Compact"/>
        <w:numPr>
          <w:ilvl w:val="0"/>
          <w:numId w:val="1012"/>
        </w:numPr>
      </w:pPr>
      <w:r>
        <w:rPr>
          <w:bCs/>
          <w:b/>
        </w:rPr>
        <w:t xml:space="preserve">Generate and Regenerate (IOLG-137).</w:t>
      </w:r>
      <w:r>
        <w:t xml:space="preserve"> </w:t>
      </w:r>
      <w:r>
        <w:t xml:space="preserve">When the dashboard was started with</w:t>
      </w:r>
      <w:r>
        <w:t xml:space="preserve"> </w:t>
      </w:r>
      <w:r>
        <w:rPr>
          <w:rStyle w:val="VerbatimChar"/>
        </w:rPr>
        <w:t xml:space="preserve">--allow-generate</w:t>
      </w:r>
      <w:r>
        <w:t xml:space="preserve">, the plan and quiz sections each carry a button:</w:t>
      </w:r>
      <w:r>
        <w:t xml:space="preserve"> </w:t>
      </w:r>
      <w:r>
        <w:rPr>
          <w:bCs/>
          <w:b/>
        </w:rPr>
        <w:t xml:space="preserve">Generate learning plan</w:t>
      </w:r>
      <w:r>
        <w:t xml:space="preserve"> </w:t>
      </w:r>
      <w:r>
        <w:t xml:space="preserve">or</w:t>
      </w:r>
      <w:r>
        <w:t xml:space="preserve"> </w:t>
      </w:r>
      <w:r>
        <w:rPr>
          <w:bCs/>
          <w:b/>
        </w:rPr>
        <w:t xml:space="preserve">Generate practice quiz</w:t>
      </w:r>
      <w:r>
        <w:t xml:space="preserve"> </w:t>
      </w:r>
      <w:r>
        <w:t xml:space="preserve">when none exists,</w:t>
      </w:r>
      <w:r>
        <w:t xml:space="preserve"> </w:t>
      </w:r>
      <w:r>
        <w:rPr>
          <w:bCs/>
          <w:b/>
        </w:rPr>
        <w:t xml:space="preserve">Regenerate …</w:t>
      </w:r>
      <w:r>
        <w:t xml:space="preserve"> </w:t>
      </w:r>
      <w:r>
        <w:t xml:space="preserve">once one does. A press runs the same command you would type (§9) for this student, with the workbook, clustering cache and review file shown on the Provenance page, so what you get is drawn from exactly the run you are looking at. While it runs the page shows a moving bar, the elapsed time and the command’s own output, which is the only honest progress a language-model call offers: one line per grounding attempt. When it finishes the page redraws with the result; if it fails you see the output and the previous plan or quiz, if there was one, is left as it was. One press at a time per student and artefact. Each press costs one or two model calls, and nothing is generated unless someone presses, which is why the buttons are off unless the person who started the dashboard turned them on.</w:t>
      </w:r>
    </w:p>
    <w:p>
      <w:pPr>
        <w:pStyle w:val="Compact"/>
        <w:numPr>
          <w:ilvl w:val="0"/>
          <w:numId w:val="1012"/>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2"/>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2"/>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2"/>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Part A §4.5 draws one as a chart and explains what to read off it.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8"/>
    <w:bookmarkStart w:id="95"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90" name="Picture"/>
            <a:graphic>
              <a:graphicData uri="http://schemas.openxmlformats.org/drawingml/2006/picture">
                <pic:pic>
                  <pic:nvPicPr>
                    <pic:cNvPr descr="diagrams/14-page-outcome-quality.png" id="91" name="Picture"/>
                    <pic:cNvPicPr>
                      <a:picLocks noChangeArrowheads="1" noChangeAspect="1"/>
                    </pic:cNvPicPr>
                  </pic:nvPicPr>
                  <pic:blipFill>
                    <a:blip r:embed="rId89"/>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3"/>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3"/>
        </w:numPr>
      </w:pPr>
      <w:r>
        <w:rPr>
          <w:bCs/>
          <w:b/>
        </w:rPr>
        <w:t xml:space="preserve">The vocabulary of the outcomes.</w:t>
      </w:r>
      <w:r>
        <w:t xml:space="preserve"> </w:t>
      </w:r>
      <w:r>
        <w:t xml:space="preserve">The verbs and nouns the suite uses, as a cloud and a table.</w:t>
      </w:r>
    </w:p>
    <w:p>
      <w:pPr>
        <w:pStyle w:val="Compact"/>
        <w:numPr>
          <w:ilvl w:val="0"/>
          <w:numId w:val="1013"/>
        </w:numPr>
      </w:pPr>
      <w:r>
        <w:rPr>
          <w:bCs/>
          <w:b/>
        </w:rPr>
        <w:t xml:space="preserve">Subjects</w:t>
      </w:r>
      <w:r>
        <w:t xml:space="preserve">, with health and gap rate, linking to each subject’s page.</w:t>
      </w:r>
    </w:p>
    <w:p>
      <w:pPr>
        <w:pStyle w:val="Compact"/>
        <w:numPr>
          <w:ilvl w:val="0"/>
          <w:numId w:val="1013"/>
        </w:numPr>
      </w:pPr>
      <w:r>
        <w:rPr>
          <w:bCs/>
          <w:b/>
        </w:rPr>
        <w:t xml:space="preserve">Progression by competency</w:t>
      </w:r>
      <w:r>
        <w:t xml:space="preserve">, linking to each competency’s page.</w:t>
      </w:r>
    </w:p>
    <w:p>
      <w:pPr>
        <w:pStyle w:val="Compact"/>
        <w:numPr>
          <w:ilvl w:val="0"/>
          <w:numId w:val="1013"/>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3"/>
        </w:numPr>
      </w:pPr>
      <w:r>
        <w:rPr>
          <w:bCs/>
          <w:b/>
        </w:rPr>
        <w:t xml:space="preserve">Attainment by subject and competency.</w:t>
      </w:r>
      <w:r>
        <w:t xml:space="preserve"> </w:t>
      </w:r>
      <w:r>
        <w:t xml:space="preserve">The matrix.</w:t>
      </w:r>
    </w:p>
    <w:p>
      <w:pPr>
        <w:pStyle w:val="Compact"/>
        <w:numPr>
          <w:ilvl w:val="0"/>
          <w:numId w:val="1013"/>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93" name="Picture"/>
            <a:graphic>
              <a:graphicData uri="http://schemas.openxmlformats.org/drawingml/2006/picture">
                <pic:pic>
                  <pic:nvPicPr>
                    <pic:cNvPr descr="diagrams/14-page-outcome-list-vague.png" id="94" name="Picture"/>
                    <pic:cNvPicPr>
                      <a:picLocks noChangeArrowheads="1" noChangeAspect="1"/>
                    </pic:cNvPicPr>
                  </pic:nvPicPr>
                  <pic:blipFill>
                    <a:blip r:embed="rId92"/>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5"/>
    <w:bookmarkStart w:id="102"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7" name="Picture"/>
            <a:graphic>
              <a:graphicData uri="http://schemas.openxmlformats.org/drawingml/2006/picture">
                <pic:pic>
                  <pic:nvPicPr>
                    <pic:cNvPr descr="diagrams/14-page-competencies.png" id="98" name="Picture"/>
                    <pic:cNvPicPr>
                      <a:picLocks noChangeArrowheads="1" noChangeAspect="1"/>
                    </pic:cNvPicPr>
                  </pic:nvPicPr>
                  <pic:blipFill>
                    <a:blip r:embed="rId96"/>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100" name="Picture"/>
            <a:graphic>
              <a:graphicData uri="http://schemas.openxmlformats.org/drawingml/2006/picture">
                <pic:pic>
                  <pic:nvPicPr>
                    <pic:cNvPr descr="diagrams/14-page-competency.png" id="101" name="Picture"/>
                    <pic:cNvPicPr>
                      <a:picLocks noChangeArrowheads="1" noChangeAspect="1"/>
                    </pic:cNvPicPr>
                  </pic:nvPicPr>
                  <pic:blipFill>
                    <a:blip r:embed="rId99"/>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102"/>
    <w:bookmarkStart w:id="112"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4" name="Picture"/>
            <a:graphic>
              <a:graphicData uri="http://schemas.openxmlformats.org/drawingml/2006/picture">
                <pic:pic>
                  <pic:nvPicPr>
                    <pic:cNvPr descr="diagrams/14-page-subjects.png" id="105" name="Picture"/>
                    <pic:cNvPicPr>
                      <a:picLocks noChangeArrowheads="1" noChangeAspect="1"/>
                    </pic:cNvPicPr>
                  </pic:nvPicPr>
                  <pic:blipFill>
                    <a:blip r:embed="rId103"/>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7" name="Picture"/>
            <a:graphic>
              <a:graphicData uri="http://schemas.openxmlformats.org/drawingml/2006/picture">
                <pic:pic>
                  <pic:nvPicPr>
                    <pic:cNvPr descr="diagrams/14-page-subject.png" id="108" name="Picture"/>
                    <pic:cNvPicPr>
                      <a:picLocks noChangeArrowheads="1" noChangeAspect="1"/>
                    </pic:cNvPicPr>
                  </pic:nvPicPr>
                  <pic:blipFill>
                    <a:blip r:embed="rId106"/>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10" name="Picture"/>
            <a:graphic>
              <a:graphicData uri="http://schemas.openxmlformats.org/drawingml/2006/picture">
                <pic:pic>
                  <pic:nvPicPr>
                    <pic:cNvPr descr="diagrams/14-page-assessments.png" id="111" name="Picture"/>
                    <pic:cNvPicPr>
                      <a:picLocks noChangeArrowheads="1" noChangeAspect="1"/>
                    </pic:cNvPicPr>
                  </pic:nvPicPr>
                  <pic:blipFill>
                    <a:blip r:embed="rId109"/>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12"/>
    <w:bookmarkStart w:id="116" w:name="provenance-run"/>
    <w:p>
      <w:pPr>
        <w:pStyle w:val="Heading2"/>
      </w:pPr>
      <w:r>
        <w:t xml:space="preserve">20. Provenance (</w:t>
      </w:r>
      <w:r>
        <w:rPr>
          <w:rStyle w:val="VerbatimChar"/>
        </w:rPr>
        <w:t xml:space="preserve">/run</w:t>
      </w:r>
      <w:r>
        <w:t xml:space="preserve">)</w:t>
      </w:r>
    </w:p>
    <w:p>
      <w:pPr>
        <w:pStyle w:val="FirstParagraph"/>
      </w:pPr>
      <w:r>
        <w:drawing>
          <wp:inline>
            <wp:extent cx="5070422" cy="7919999"/>
            <wp:effectExtent b="0" l="0" r="0" t="0"/>
            <wp:docPr descr="" title="" id="114" name="Picture"/>
            <a:graphic>
              <a:graphicData uri="http://schemas.openxmlformats.org/drawingml/2006/picture">
                <pic:pic>
                  <pic:nvPicPr>
                    <pic:cNvPr descr="diagrams/14-page-this-run.png" id="115" name="Picture"/>
                    <pic:cNvPicPr>
                      <a:picLocks noChangeArrowheads="1" noChangeAspect="1"/>
                    </pic:cNvPicPr>
                  </pic:nvPicPr>
                  <pic:blipFill>
                    <a:blip r:embed="rId113"/>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Provenance (titled</w:t>
      </w:r>
      <w:r>
        <w:rPr>
          <w:iCs/>
          <w:i/>
        </w:rPr>
        <w:t xml:space="preserve"> </w:t>
      </w:r>
      <w:r>
        <w:rPr>
          <w:iCs/>
          <w:i/>
        </w:rPr>
        <w:t xml:space="preserve">“</w:t>
      </w:r>
      <w:r>
        <w:rPr>
          <w:iCs/>
          <w:i/>
        </w:rPr>
        <w:t xml:space="preserve">This run</w:t>
      </w:r>
      <w:r>
        <w:rPr>
          <w:iCs/>
          <w:i/>
        </w:rPr>
        <w:t xml:space="preserve">”</w:t>
      </w:r>
      <w:r>
        <w:rPr>
          <w:iCs/>
          <w:i/>
        </w:rPr>
        <w:t xml:space="preserve"> </w:t>
      </w:r>
      <w:r>
        <w:rPr>
          <w:iCs/>
          <w:i/>
        </w:rPr>
        <w:t xml:space="preserve">when the screenshot was taken; renamed in PR #54): the command, the files, the input counts, the rules and the parameter values that produced every other page.</w:t>
      </w:r>
    </w:p>
    <w:p>
      <w:pPr>
        <w:pStyle w:val="BodyText"/>
      </w:pPr>
      <w:r>
        <w:t xml:space="preserve">Open this page before quoting any number from the dashboard. It opens with the pipeline command that reproduces its numbers as files,</w:t>
      </w:r>
      <w:r>
        <w:t xml:space="preserve"> </w:t>
      </w:r>
      <w:r>
        <w:rPr>
          <w:rStyle w:val="VerbatimChar"/>
        </w:rPr>
        <w:t xml:space="preserve">python -m lja.cli</w:t>
      </w:r>
      <w:r>
        <w:t xml:space="preserve"> </w:t>
      </w:r>
      <w:r>
        <w:t xml:space="preserve">with the same workbook, cache, review file and any changed threshold (PR #54). Then it shows the exact command that started the dashboard,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line under the start command says whether</w:t>
      </w:r>
      <w:r>
        <w:t xml:space="preserve"> </w:t>
      </w:r>
      <w:r>
        <w:rPr>
          <w:bCs/>
          <w:b/>
        </w:rPr>
        <w:t xml:space="preserve">generation from the student page</w:t>
      </w:r>
      <w:r>
        <w:t xml:space="preserve"> </w:t>
      </w:r>
      <w:r>
        <w:t xml:space="preserve">is on or off (IOLG-137).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6"/>
    <w:bookmarkStart w:id="120"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8" name="Picture"/>
            <a:graphic>
              <a:graphicData uri="http://schemas.openxmlformats.org/drawingml/2006/picture">
                <pic:pic>
                  <pic:nvPicPr>
                    <pic:cNvPr descr="diagrams/14-page-glossary.png" id="119" name="Picture"/>
                    <pic:cNvPicPr>
                      <a:picLocks noChangeArrowheads="1" noChangeAspect="1"/>
                    </pic:cNvPicPr>
                  </pic:nvPicPr>
                  <pic:blipFill>
                    <a:blip r:embed="rId117"/>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20"/>
    <w:bookmarkStart w:id="121"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Provenance: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r>
        <w:tc>
          <w:tcPr/>
          <w:p>
            <w:pPr>
              <w:pStyle w:val="Compact"/>
              <w:jc w:val="left"/>
            </w:pPr>
            <w:r>
              <w:t xml:space="preserve">Make a plan or quiz for one student without leaving the dashboard</w:t>
            </w:r>
          </w:p>
        </w:tc>
        <w:tc>
          <w:tcPr/>
          <w:p>
            <w:pPr>
              <w:pStyle w:val="Compact"/>
              <w:jc w:val="left"/>
            </w:pPr>
            <w:r>
              <w:t xml:space="preserve">Start it with</w:t>
            </w:r>
            <w:r>
              <w:t xml:space="preserve"> </w:t>
            </w:r>
            <w:r>
              <w:rPr>
                <w:rStyle w:val="VerbatimChar"/>
              </w:rPr>
              <w:t xml:space="preserve">--allow-generate</w:t>
            </w:r>
            <w:r>
              <w:t xml:space="preserve">, open the student, press Generate (§16, IOLG-137)</w:t>
            </w:r>
          </w:p>
        </w:tc>
      </w:tr>
    </w:tbl>
    <w:bookmarkEnd w:id="121"/>
    <w:bookmarkStart w:id="122" w:name="what-the-dashboard-does-not-do-yet"/>
    <w:p>
      <w:pPr>
        <w:pStyle w:val="Heading2"/>
      </w:pPr>
      <w:r>
        <w:t xml:space="preserve">23. What the dashboard does not do yet</w:t>
      </w:r>
    </w:p>
    <w:p>
      <w:pPr>
        <w:pStyle w:val="Compact"/>
        <w:numPr>
          <w:ilvl w:val="0"/>
          <w:numId w:val="1014"/>
        </w:numPr>
      </w:pPr>
      <w:r>
        <w:t xml:space="preserve">No login, no roles, no audit trail. It is a development view and says so in its header.</w:t>
      </w:r>
    </w:p>
    <w:p>
      <w:pPr>
        <w:pStyle w:val="Compact"/>
        <w:numPr>
          <w:ilvl w:val="0"/>
          <w:numId w:val="1014"/>
        </w:numPr>
      </w:pPr>
      <w:r>
        <w:t xml:space="preserve">Excel input only. A Moodle-sourced run is analysed by the pipeline but is not yet served by the dashboard.</w:t>
      </w:r>
    </w:p>
    <w:p>
      <w:pPr>
        <w:pStyle w:val="Compact"/>
        <w:numPr>
          <w:ilvl w:val="0"/>
          <w:numId w:val="1014"/>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4"/>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or a course map, so on a large cohort they include subjects from other degrees (Part A §4.5). Reading next semester’s enrolments from Moodle, or a course map per degree, would make it a fact; neither is built.</w:t>
      </w:r>
    </w:p>
    <w:p>
      <w:pPr>
        <w:pStyle w:val="Compact"/>
        <w:numPr>
          <w:ilvl w:val="0"/>
          <w:numId w:val="1014"/>
        </w:numPr>
      </w:pPr>
      <w:r>
        <w:t xml:space="preserve">No editing: staff decisions on groups are made with</w:t>
      </w:r>
      <w:r>
        <w:t xml:space="preserve"> </w:t>
      </w:r>
      <w:r>
        <w:rPr>
          <w:rStyle w:val="VerbatimChar"/>
        </w:rPr>
        <w:t xml:space="preserve">lja.review</w:t>
      </w:r>
      <w:r>
        <w:t xml:space="preserve">, not in the browser. Generating a plan or quiz from the page (IOLG-137) is the one write the dashboard can do, and only when switched on.</w:t>
      </w:r>
    </w:p>
    <w:p>
      <w:pPr>
        <w:pStyle w:val="Compact"/>
        <w:numPr>
          <w:ilvl w:val="0"/>
          <w:numId w:val="1014"/>
        </w:numPr>
      </w:pPr>
      <w:r>
        <w:t xml:space="preserve">The seven thresholds are unratified defaults (action A-01). Until then, quote the Provenance page with any number.</w:t>
      </w:r>
    </w:p>
    <w:p>
      <w:pPr>
        <w:pStyle w:val="Compact"/>
        <w:numPr>
          <w:ilvl w:val="0"/>
          <w:numId w:val="1014"/>
        </w:numPr>
      </w:pPr>
      <w:r>
        <w:t xml:space="preserve">The AI review warning says how many groups were rejected but not which (finding UAT-02, 28 September). The pipeline names the rejected group when it stops; the banner does not yet.</w:t>
      </w:r>
    </w:p>
    <w:p>
      <w:pPr>
        <w:pStyle w:val="Compact"/>
        <w:numPr>
          <w:ilvl w:val="0"/>
          <w:numId w:val="1014"/>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4"/>
        </w:numPr>
      </w:pPr>
      <w:r>
        <w:t xml:space="preserve">Study strategies are written to files but not shown on the dashboard.</w:t>
      </w:r>
    </w:p>
    <w:p>
      <w:pPr>
        <w:pStyle w:val="Compact"/>
        <w:numPr>
          <w:ilvl w:val="0"/>
          <w:numId w:val="1014"/>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22"/>
    <w:bookmarkEnd w:id="123"/>
    <w:bookmarkStart w:id="127" w:name="appendices"/>
    <w:p>
      <w:pPr>
        <w:pStyle w:val="Heading1"/>
      </w:pPr>
      <w:r>
        <w:t xml:space="preserve">Appendices</w:t>
      </w:r>
    </w:p>
    <w:bookmarkStart w:id="124"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 Provenance 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4"/>
    <w:bookmarkStart w:id="125"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5"/>
    <w:bookmarkStart w:id="126"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Part A §4.5 explains the trajectory with a worked chart (Figure 5b, STU0834) and the large-cohort caveat; the subject sequence and trend band settings (§5.2), the subject chain on every gap card and how to read it (§16), the subject-order table on This run (§20), the glossary entry (§21), a typical task (§22) and the limits (§23). Marked (IOLG-106); ships on that branch.</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IOLG-137: Generate and Regenerate buttons for plans and quizzes on the student page (§16), the setting that turns them on (§5.2, §13), the Provenance line (§20), a typical task (§22) and the limits (§23). The fallback text now shows the run’s real workbook path. Ships on the IOLG-137 branch.</w:t>
            </w:r>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2026-10-02T10:30:26Z</dcterms:created>
  <dcterms:modified xsi:type="dcterms:W3CDTF">2026-10-02T10:30:26Z</dcterms:modified>
</cp:coreProperties>
</file>

<file path=docProps/custom.xml><?xml version="1.0" encoding="utf-8"?>
<Properties xmlns="http://schemas.openxmlformats.org/officeDocument/2006/custom-properties" xmlns:vt="http://schemas.openxmlformats.org/officeDocument/2006/docPropsVTypes"/>
</file>