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0.5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61"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6"/>
    <w:bookmarkStart w:id="60"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CaptionedFigure"/>
      </w:pPr>
      <w:r>
        <w:drawing>
          <wp:inline>
            <wp:extent cx="5334000" cy="2607733"/>
            <wp:effectExtent b="0" l="0" r="0" t="0"/>
            <wp:docPr descr="A trajectory: STU0834 in Expressing mathematical arguments" title="" id="58" name="Picture"/>
            <a:graphic>
              <a:graphicData uri="http://schemas.openxmlformats.org/drawingml/2006/picture">
                <pic:pic>
                  <pic:nvPicPr>
                    <pic:cNvPr descr="diagrams/15-trajectory-STU0834.png" id="59" name="Picture"/>
                    <pic:cNvPicPr>
                      <a:picLocks noChangeArrowheads="1" noChangeAspect="1"/>
                    </pic:cNvPicPr>
                  </pic:nvPicPr>
                  <pic:blipFill>
                    <a:blip r:embed="rId57"/>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A trajectory: STU0834 in Expressing mathematical arguments</w:t>
      </w:r>
    </w:p>
    <w:p>
      <w:pPr>
        <w:pStyle w:val="BodyText"/>
      </w:pPr>
      <w:r>
        <w:rPr>
          <w:iCs/>
          <w:i/>
        </w:rPr>
        <w:t xml:space="preserve">Figure 5c: One trajectory from the 100-subject cohort, drawn for the User Document (its §4.5 explains it for readers of the dashboard). Four first-year subjects sat and declining, two second-year subjects ahead, ordered by year digit because the default declared sequence covers only the three supplied subjects.</w:t>
      </w:r>
    </w:p>
    <w:p>
      <w:pPr>
        <w:pStyle w:val="BodyText"/>
      </w:pPr>
      <w:r>
        <w:rPr>
          <w:bCs/>
          <w:b/>
        </w:rPr>
        <w:t xml:space="preserve">Ahead is unfiltered without a course map.</w:t>
      </w:r>
      <w:r>
        <w:t xml:space="preserve"> </w:t>
      </w:r>
      <w:r>
        <w:t xml:space="preserve">On the three-subject workbook</w:t>
      </w:r>
      <w:r>
        <w:t xml:space="preserve"> </w:t>
      </w:r>
      <w:r>
        <w:t xml:space="preserve">“</w:t>
      </w:r>
      <w:r>
        <w:t xml:space="preserve">ahead</w:t>
      </w:r>
      <w:r>
        <w:t xml:space="preserve">”</w:t>
      </w:r>
      <w:r>
        <w:t xml:space="preserve"> </w:t>
      </w:r>
      <w:r>
        <w:t xml:space="preserve">is exact. On the 100-subject cohort a competency can span fifteen subjects across seven programs, so a student’s chain lists subjects from degrees they are not in, and a skipped earlier-year subject appears as ahead. The chain is correct about where the competency is assessed and wrong as a list of the student’s next subjects; filtering it needs the program, which the catalogue’s</w:t>
      </w:r>
      <w:r>
        <w:t xml:space="preserve"> </w:t>
      </w:r>
      <w:r>
        <w:rPr>
          <w:rStyle w:val="VerbatimChar"/>
        </w:rPr>
        <w:t xml:space="preserve">programs:</w:t>
      </w:r>
      <w:r>
        <w:t xml:space="preserve"> </w:t>
      </w:r>
      <w:r>
        <w:t xml:space="preserve">block and the Student Summary’s Program column both carry but the loader does not yet read. That is the first follow-up (§8.2).</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60"/>
    <w:bookmarkEnd w:id="61"/>
    <w:bookmarkStart w:id="68" w:name="deployment-and-environment"/>
    <w:p>
      <w:pPr>
        <w:pStyle w:val="Heading2"/>
      </w:pPr>
      <w:r>
        <w:t xml:space="preserve">4. Deployment and environment</w:t>
      </w:r>
    </w:p>
    <w:bookmarkStart w:id="62"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62"/>
    <w:bookmarkStart w:id="63"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3"/>
    <w:bookmarkStart w:id="64"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4"/>
    <w:bookmarkStart w:id="65"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5"/>
    <w:bookmarkStart w:id="66"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6"/>
    <w:bookmarkStart w:id="67"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7"/>
    <w:bookmarkEnd w:id="68"/>
    <w:bookmarkStart w:id="78" w:name="ongoing-maintenance"/>
    <w:p>
      <w:pPr>
        <w:pStyle w:val="Heading2"/>
      </w:pPr>
      <w:r>
        <w:t xml:space="preserve">5. Ongoing maintenance</w:t>
      </w:r>
    </w:p>
    <w:bookmarkStart w:id="69"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9"/>
    <w:bookmarkStart w:id="70"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70"/>
    <w:bookmarkStart w:id="71"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71"/>
    <w:bookmarkStart w:id="72"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72"/>
    <w:bookmarkStart w:id="73"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3"/>
    <w:bookmarkStart w:id="74"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4"/>
    <w:bookmarkStart w:id="75"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5"/>
    <w:bookmarkStart w:id="76"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6"/>
    <w:bookmarkStart w:id="77"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7"/>
    <w:bookmarkEnd w:id="78"/>
    <w:bookmarkStart w:id="84" w:name="testing"/>
    <w:p>
      <w:pPr>
        <w:pStyle w:val="Heading2"/>
      </w:pPr>
      <w:r>
        <w:t xml:space="preserve">6. Testing</w:t>
      </w:r>
    </w:p>
    <w:bookmarkStart w:id="79"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9"/>
    <w:bookmarkStart w:id="80"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80"/>
    <w:bookmarkStart w:id="81"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81"/>
    <w:bookmarkStart w:id="82"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82"/>
    <w:bookmarkStart w:id="83"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3"/>
    <w:bookmarkEnd w:id="84"/>
    <w:bookmarkStart w:id="90"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5"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5"/>
    <w:bookmarkStart w:id="86"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6"/>
    <w:bookmarkStart w:id="87"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7"/>
    <w:bookmarkStart w:id="88"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8"/>
    <w:bookmarkStart w:id="89"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9"/>
    <w:bookmarkEnd w:id="90"/>
    <w:bookmarkStart w:id="96"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91"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91"/>
    <w:bookmarkStart w:id="92"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in order: filter</w:t>
      </w:r>
      <w:r>
        <w:t xml:space="preserve"> </w:t>
      </w:r>
      <w:r>
        <w:t xml:space="preserve">“</w:t>
      </w:r>
      <w:r>
        <w:t xml:space="preserve">ahead</w:t>
      </w:r>
      <w:r>
        <w:t xml:space="preserve">”</w:t>
      </w:r>
      <w:r>
        <w:t xml:space="preserve"> </w:t>
      </w:r>
      <w:r>
        <w:t xml:space="preserve">to the student’s own program (the Program column exists in the workbook and the catalogue; the loader drops it), which is what makes the chain readable on a large cohort (§3.11);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92"/>
    <w:bookmarkStart w:id="93"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3"/>
    <w:bookmarkStart w:id="94"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4"/>
    <w:bookmarkStart w:id="95"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5"/>
    <w:bookmarkEnd w:id="96"/>
    <w:bookmarkStart w:id="97"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97"/>
    <w:bookmarkStart w:id="105"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8"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8"/>
    <w:bookmarkStart w:id="99"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9"/>
    <w:bookmarkStart w:id="100"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100"/>
    <w:bookmarkStart w:id="101"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101"/>
    <w:bookmarkStart w:id="102"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102"/>
    <w:bookmarkStart w:id="103"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3"/>
    <w:bookmarkStart w:id="104"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4"/>
    <w:bookmarkEnd w:id="105"/>
    <w:bookmarkStart w:id="106"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6"/>
    <w:bookmarkStart w:id="107"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with Figure 5c and the unfiltered-ahead finding, decision D19, story D12, configuration rows, repository map, debt items 7 and 8 resolved to configuration, §8.2 and Appendix B reconciled. Ships on the IOLG-106 branch.</w:t>
            </w:r>
          </w:p>
        </w:tc>
      </w:tr>
    </w:tbl>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2026-10-02T08:41:09Z</dcterms:created>
  <dcterms:modified xsi:type="dcterms:W3CDTF">2026-10-02T08:41:09Z</dcterms:modified>
</cp:coreProperties>
</file>

<file path=docProps/custom.xml><?xml version="1.0" encoding="utf-8"?>
<Properties xmlns="http://schemas.openxmlformats.org/officeDocument/2006/custom-properties" xmlns:vt="http://schemas.openxmlformats.org/officeDocument/2006/docPropsVTypes"/>
</file>