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3572"/>
        <w:gridCol w:w="3572"/>
      </w:tblGrid>
      <w:tr w14:paraId="3EFFF240">
        <w:trPr>
          <w:jc w:val="center"/>
        </w:trPr>
        <w:tc>
          <w:tcPr>
            <w:tcW w:w="29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DC52">
            <w:pPr>
              <w:spacing w:before="0" w:after="0" w:line="240" w:lineRule="auto"/>
            </w:pPr>
            <w:r>
              <w:rPr>
                <w:rFonts w:ascii="Arial" w:hAnsi="Arial" w:eastAsia="Noto Sans CJK SC"/>
                <w:b/>
                <w:color w:val="16487B"/>
                <w:sz w:val="44"/>
              </w:rPr>
              <w:t>HIT</w:t>
            </w:r>
          </w:p>
          <w:p w14:paraId="4762718D">
            <w:pPr>
              <w:spacing w:before="0" w:after="0" w:line="240" w:lineRule="auto"/>
            </w:pPr>
            <w:r>
              <w:rPr>
                <w:rFonts w:ascii="Arial" w:hAnsi="Arial" w:eastAsia="Noto Sans CJK SC"/>
                <w:b/>
                <w:color w:val="16487B"/>
                <w:sz w:val="16"/>
              </w:rPr>
              <w:t>哈尔滨工业大学（威海）</w:t>
            </w:r>
          </w:p>
          <w:p w14:paraId="6FA91611"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05050"/>
                <w:sz w:val="12"/>
              </w:rPr>
              <w:t>Computer Science &amp; Technology</w:t>
            </w:r>
          </w:p>
        </w:tc>
        <w:tc>
          <w:tcPr>
            <w:tcW w:w="58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31C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32"/>
              </w:rPr>
              <w:t>孙业腾</w:t>
            </w:r>
          </w:p>
          <w:p w14:paraId="7F102127">
            <w:pPr>
              <w:spacing w:before="0" w:after="0" w:line="240" w:lineRule="auto"/>
              <w:jc w:val="center"/>
              <w:rPr>
                <w:rFonts w:ascii="Arial" w:hAnsi="Arial" w:eastAsia="Noto Sans CJK SC"/>
                <w:b w:val="0"/>
                <w:sz w:val="16"/>
              </w:rPr>
            </w:pPr>
            <w:r>
              <w:rPr>
                <w:rFonts w:ascii="Arial" w:hAnsi="Arial" w:eastAsia="Noto Sans CJK SC"/>
                <w:b w:val="0"/>
                <w:sz w:val="16"/>
              </w:rPr>
              <w:t>男｜预备党员｜计算机科学与技术</w:t>
            </w:r>
          </w:p>
          <w:p w14:paraId="4D7D6A7F">
            <w:pPr>
              <w:spacing w:before="0" w:after="0" w:line="240" w:lineRule="auto"/>
              <w:jc w:val="center"/>
              <w:rPr>
                <w:rFonts w:ascii="Arial" w:hAnsi="Arial" w:eastAsia="Noto Sans CJK SC"/>
                <w:b w:val="0"/>
                <w:sz w:val="15"/>
              </w:rPr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电话：18131982474  </w:t>
            </w:r>
          </w:p>
          <w:p w14:paraId="6D79D5D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 邮箱：yeteng101@gmail.com</w:t>
            </w:r>
          </w:p>
        </w:tc>
        <w:tc>
          <w:tcPr>
            <w:tcW w:w="15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E7070">
            <w:pPr>
              <w:spacing w:before="0" w:after="0" w:line="240" w:lineRule="auto"/>
              <w:jc w:val="right"/>
            </w:pPr>
            <w:r>
              <w:rPr>
                <w:rFonts w:hint="eastAsia" w:eastAsia="宋体"/>
                <w:sz w:val="16"/>
                <w:lang w:val="en-US" w:eastAsia="zh-CN"/>
              </w:rPr>
              <w:t xml:space="preserve"> </w:t>
            </w:r>
            <w:r>
              <w:rPr>
                <w:rFonts w:ascii="Arial" w:hAnsi="Arial" w:eastAsia="宋体"/>
                <w:sz w:val="16"/>
              </w:rPr>
              <w:drawing>
                <wp:inline distT="0" distB="0" distL="114300" distR="114300">
                  <wp:extent cx="894715" cy="1039495"/>
                  <wp:effectExtent l="0" t="0" r="19685" b="1905"/>
                  <wp:docPr id="1" name="Picture 1" descr="/Users/andye/Downloads/f0507220-f110-4e18-9091-7e1deb179ea0.pngf0507220-f110-4e18-9091-7e1deb179e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Users/andye/Downloads/f0507220-f110-4e18-9091-7e1deb179ea0.pngf0507220-f110-4e18-9091-7e1deb179ea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215" b="2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715" cy="103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E2E34">
      <w:pPr>
        <w:pBdr>
          <w:bottom w:val="single" w:color="B5B5B5" w:sz="6" w:space="1"/>
        </w:pBdr>
        <w:spacing w:before="40" w:after="20" w:line="240" w:lineRule="auto"/>
      </w:pPr>
      <w:r>
        <w:rPr>
          <w:rFonts w:ascii="Arial" w:hAnsi="Arial" w:eastAsia="宋体"/>
          <w:b/>
          <w:sz w:val="22"/>
        </w:rPr>
        <w:t>教育经历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3572"/>
        <w:gridCol w:w="3572"/>
      </w:tblGrid>
      <w:tr w14:paraId="119E2C9A">
        <w:trPr>
          <w:jc w:val="center"/>
        </w:trPr>
        <w:tc>
          <w:tcPr>
            <w:tcW w:w="36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5C70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sz w:val="16"/>
              </w:rPr>
              <w:t>哈尔滨工业大学（威海）</w:t>
            </w:r>
          </w:p>
        </w:tc>
        <w:tc>
          <w:tcPr>
            <w:tcW w:w="41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2EB3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计算机科学与技术专业    本科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654D">
            <w:pPr>
              <w:spacing w:before="0" w:after="0" w:line="240" w:lineRule="auto"/>
              <w:jc w:val="right"/>
            </w:pPr>
            <w:r>
              <w:rPr>
                <w:rFonts w:ascii="Arial" w:hAnsi="Arial" w:eastAsia="Noto Sans CJK SC"/>
                <w:b/>
                <w:sz w:val="16"/>
              </w:rPr>
              <w:t>2023.09 - 2027.07</w:t>
            </w:r>
          </w:p>
        </w:tc>
      </w:tr>
    </w:tbl>
    <w:p w14:paraId="3FF9327E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主修课程：</w:t>
      </w:r>
      <w:r>
        <w:rPr>
          <w:rFonts w:ascii="Arial" w:hAnsi="Arial" w:eastAsia="Noto Sans CJK SC"/>
          <w:b w:val="0"/>
          <w:sz w:val="15"/>
        </w:rPr>
        <w:t>数据结构与算法、计算机组成原理、计算机系统、高级程序语言设计、计算机网络、数据库系统等，具备扎实的计算机基础。</w:t>
      </w:r>
    </w:p>
    <w:p w14:paraId="67CA101A">
      <w:pPr>
        <w:spacing w:before="0" w:after="20" w:line="245" w:lineRule="auto"/>
        <w:ind w:left="220" w:hanging="220"/>
        <w:rPr>
          <w:rFonts w:hint="default"/>
          <w:b/>
          <w:bCs/>
          <w:lang w:val="en-US"/>
        </w:rPr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奖项荣誉：</w:t>
      </w:r>
      <w:r>
        <w:rPr>
          <w:rFonts w:ascii="Arial" w:hAnsi="Arial" w:eastAsia="Noto Sans CJK SC"/>
          <w:b w:val="0"/>
          <w:sz w:val="15"/>
        </w:rPr>
        <w:t>全国大学生数学建模竞赛</w:t>
      </w:r>
      <w:r>
        <w:rPr>
          <w:rFonts w:ascii="Arial" w:hAnsi="Arial" w:eastAsia="Noto Sans CJK SC"/>
          <w:b/>
          <w:bCs/>
          <w:sz w:val="15"/>
        </w:rPr>
        <w:t>省一等奖</w:t>
      </w:r>
      <w:r>
        <w:rPr>
          <w:rFonts w:ascii="Arial" w:hAnsi="Arial" w:eastAsia="Noto Sans CJK SC"/>
          <w:b w:val="0"/>
          <w:sz w:val="15"/>
        </w:rPr>
        <w:t>、山东省大学生</w:t>
      </w:r>
      <w:r>
        <w:rPr>
          <w:rFonts w:ascii="Arial" w:hAnsi="Arial" w:eastAsia="Noto Sans CJK SC"/>
          <w:b/>
          <w:bCs/>
          <w:sz w:val="15"/>
        </w:rPr>
        <w:t>物理竞赛省一等奖</w:t>
      </w:r>
      <w:r>
        <w:rPr>
          <w:rFonts w:ascii="Arial" w:hAnsi="Arial" w:eastAsia="Noto Sans CJK SC"/>
          <w:b w:val="0"/>
          <w:sz w:val="15"/>
        </w:rPr>
        <w:t>、二等</w:t>
      </w:r>
      <w:r>
        <w:rPr>
          <w:rFonts w:ascii="Arial" w:hAnsi="Arial" w:eastAsia="Noto Sans CJK SC"/>
          <w:b/>
          <w:bCs/>
          <w:sz w:val="15"/>
        </w:rPr>
        <w:t>人民奖学金</w:t>
      </w:r>
      <w:r>
        <w:rPr>
          <w:rFonts w:ascii="Arial" w:hAnsi="Arial" w:eastAsia="Noto Sans CJK SC"/>
          <w:b w:val="0"/>
          <w:sz w:val="15"/>
        </w:rPr>
        <w:t>（2次）、三等</w:t>
      </w:r>
      <w:r>
        <w:rPr>
          <w:rFonts w:ascii="Arial" w:hAnsi="Arial" w:eastAsia="Noto Sans CJK SC"/>
          <w:b/>
          <w:bCs/>
          <w:sz w:val="15"/>
        </w:rPr>
        <w:t>人民奖学金</w:t>
      </w:r>
      <w:r>
        <w:rPr>
          <w:rFonts w:hint="eastAsia"/>
          <w:b w:val="0"/>
          <w:sz w:val="15"/>
          <w:lang w:eastAsia="zh-CN"/>
        </w:rPr>
        <w:t>（</w:t>
      </w:r>
      <w:r>
        <w:rPr>
          <w:rFonts w:hint="eastAsia"/>
          <w:b w:val="0"/>
          <w:sz w:val="15"/>
          <w:lang w:val="en-US" w:eastAsia="zh-CN"/>
        </w:rPr>
        <w:t>2次</w:t>
      </w:r>
      <w:r>
        <w:rPr>
          <w:rFonts w:hint="eastAsia"/>
          <w:b w:val="0"/>
          <w:sz w:val="15"/>
          <w:lang w:eastAsia="zh-CN"/>
        </w:rPr>
        <w:t>）</w:t>
      </w:r>
      <w:r>
        <w:rPr>
          <w:rFonts w:ascii="Arial" w:hAnsi="Arial" w:eastAsia="Noto Sans CJK SC"/>
          <w:b w:val="0"/>
          <w:sz w:val="15"/>
        </w:rPr>
        <w:t>、社会工作奖学金</w:t>
      </w:r>
      <w:r>
        <w:rPr>
          <w:rFonts w:hint="eastAsia"/>
          <w:b w:val="0"/>
          <w:sz w:val="15"/>
          <w:lang w:eastAsia="zh-CN"/>
        </w:rPr>
        <w:t>、</w:t>
      </w:r>
      <w:r>
        <w:rPr>
          <w:rFonts w:hint="eastAsia"/>
          <w:b w:val="0"/>
          <w:sz w:val="15"/>
          <w:lang w:val="en-US" w:eastAsia="zh-CN"/>
        </w:rPr>
        <w:t>英语奖学金、校羽毛球院系杯男子单打季军、威海市俱乐部羽毛球男子</w:t>
      </w:r>
      <w:r>
        <w:rPr>
          <w:rFonts w:hint="eastAsia"/>
          <w:b/>
          <w:bCs/>
          <w:sz w:val="15"/>
          <w:lang w:val="en-US" w:eastAsia="zh-CN"/>
        </w:rPr>
        <w:t>单打冠军</w:t>
      </w:r>
    </w:p>
    <w:p w14:paraId="22D7772E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校园经历：</w:t>
      </w:r>
      <w:r>
        <w:rPr>
          <w:rFonts w:ascii="Arial" w:hAnsi="Arial" w:eastAsia="Noto Sans CJK SC"/>
          <w:b/>
          <w:bCs/>
          <w:sz w:val="15"/>
        </w:rPr>
        <w:t>校羽毛球协会会长</w:t>
      </w:r>
      <w:r>
        <w:rPr>
          <w:rFonts w:ascii="Arial" w:hAnsi="Arial" w:eastAsia="Noto Sans CJK SC"/>
          <w:b w:val="0"/>
          <w:sz w:val="15"/>
        </w:rPr>
        <w:t>、院羽毛球院队队长、朋辈级学业辅导员、</w:t>
      </w:r>
      <w:r>
        <w:rPr>
          <w:rFonts w:ascii="Arial" w:hAnsi="Arial" w:eastAsia="Noto Sans CJK SC"/>
          <w:b/>
          <w:bCs/>
          <w:sz w:val="15"/>
        </w:rPr>
        <w:t>组宣&amp;文体委员</w:t>
      </w:r>
      <w:r>
        <w:rPr>
          <w:rFonts w:ascii="Arial" w:hAnsi="Arial" w:eastAsia="Noto Sans CJK SC"/>
          <w:b w:val="0"/>
          <w:sz w:val="15"/>
        </w:rPr>
        <w:t>，具备活动组织、团队协作和沟通推进能力。</w:t>
      </w:r>
    </w:p>
    <w:p w14:paraId="5DBFAC3D">
      <w:pPr>
        <w:pBdr>
          <w:bottom w:val="single" w:color="B5B5B5" w:sz="6" w:space="1"/>
        </w:pBdr>
        <w:spacing w:before="40" w:after="20" w:line="240" w:lineRule="auto"/>
      </w:pPr>
      <w:r>
        <w:rPr>
          <w:rFonts w:ascii="Arial" w:hAnsi="Arial" w:eastAsia="宋体"/>
          <w:b/>
          <w:sz w:val="22"/>
        </w:rPr>
        <w:t>个人技能</w:t>
      </w:r>
    </w:p>
    <w:p w14:paraId="5C4A509F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编程语言：</w:t>
      </w:r>
      <w:r>
        <w:rPr>
          <w:rFonts w:ascii="Arial" w:hAnsi="Arial" w:eastAsia="Noto Sans CJK SC"/>
          <w:b w:val="0"/>
          <w:sz w:val="15"/>
        </w:rPr>
        <w:t>熟练掌握 C++，熟悉 C++11/14/17 常用特性，理解 RAII、智能指针、移动语义、STL 容器与算法，具备多线程编程和内存管理能力。</w:t>
      </w:r>
    </w:p>
    <w:p w14:paraId="723AACB7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计算机基础：</w:t>
      </w:r>
      <w:r>
        <w:rPr>
          <w:rFonts w:ascii="Arial" w:hAnsi="Arial" w:eastAsia="Noto Sans CJK SC"/>
          <w:b w:val="0"/>
          <w:sz w:val="15"/>
        </w:rPr>
        <w:t>熟悉计算机系统、计算机组成核心原理，了解进程/线程、同步互斥、内存层次结构等基础概念；了解 TCP/UDP 与 HTTP 协议。</w:t>
      </w:r>
    </w:p>
    <w:p w14:paraId="11BECB59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数据库与缓存：</w:t>
      </w:r>
      <w:r>
        <w:rPr>
          <w:rFonts w:ascii="Arial" w:hAnsi="Arial" w:eastAsia="Noto Sans CJK SC"/>
          <w:b w:val="0"/>
          <w:sz w:val="15"/>
        </w:rPr>
        <w:t>熟悉 MySQL 数据库开发，具备数据库设计、SQL 编写与性能优化意识；了解索引、事务、锁机制及 Redis 等非关系型数据库应用场景。</w:t>
      </w:r>
    </w:p>
    <w:p w14:paraId="06B7DADE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开发与运维：</w:t>
      </w:r>
      <w:r>
        <w:rPr>
          <w:rFonts w:ascii="Arial" w:hAnsi="Arial" w:eastAsia="Noto Sans CJK SC"/>
          <w:b w:val="0"/>
          <w:sz w:val="15"/>
        </w:rPr>
        <w:t>熟悉 Linux 开发环境，掌握常用命令、Shell 脚本、GDB 基础调试和 CMake 工程构建流程，能够完成项目编译、部署与问题排查。</w:t>
      </w:r>
    </w:p>
    <w:p w14:paraId="5F39F659">
      <w:pPr>
        <w:spacing w:before="0" w:after="20" w:line="245" w:lineRule="auto"/>
        <w:ind w:left="220" w:hanging="220"/>
        <w:rPr>
          <w:rFonts w:ascii="Arial" w:hAnsi="Arial" w:eastAsia="Noto Sans CJK SC"/>
          <w:b w:val="0"/>
          <w:sz w:val="15"/>
        </w:rPr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英语能力：</w:t>
      </w:r>
      <w:r>
        <w:rPr>
          <w:rFonts w:ascii="Arial" w:hAnsi="Arial" w:eastAsia="Noto Sans CJK SC"/>
          <w:b w:val="0"/>
          <w:sz w:val="15"/>
        </w:rPr>
        <w:t xml:space="preserve">大学英语六级，雅思 </w:t>
      </w:r>
      <w:r>
        <w:rPr>
          <w:rFonts w:hint="eastAsia"/>
          <w:b w:val="0"/>
          <w:sz w:val="15"/>
          <w:lang w:val="en-US" w:eastAsia="zh-CN"/>
        </w:rPr>
        <w:t>7.0</w:t>
      </w:r>
      <w:r>
        <w:rPr>
          <w:rFonts w:ascii="Arial" w:hAnsi="Arial" w:eastAsia="Noto Sans CJK SC"/>
          <w:b w:val="0"/>
          <w:sz w:val="15"/>
        </w:rPr>
        <w:t>（</w:t>
      </w:r>
      <w:r>
        <w:rPr>
          <w:rFonts w:hint="eastAsia"/>
          <w:b w:val="0"/>
          <w:sz w:val="15"/>
          <w:lang w:val="en-US" w:eastAsia="zh-CN"/>
        </w:rPr>
        <w:t>听力7.5</w:t>
      </w:r>
      <w:r>
        <w:rPr>
          <w:rFonts w:ascii="Arial" w:hAnsi="Arial" w:eastAsia="Noto Sans CJK SC"/>
          <w:b w:val="0"/>
          <w:sz w:val="15"/>
        </w:rPr>
        <w:t>阅读 8.5</w:t>
      </w:r>
      <w:r>
        <w:rPr>
          <w:rFonts w:hint="eastAsia"/>
          <w:b w:val="0"/>
          <w:sz w:val="15"/>
          <w:lang w:val="en-US" w:eastAsia="zh-CN"/>
        </w:rPr>
        <w:t>作文6.5口语6.0</w:t>
      </w:r>
      <w:r>
        <w:rPr>
          <w:rFonts w:ascii="Arial" w:hAnsi="Arial" w:eastAsia="Noto Sans CJK SC"/>
          <w:b w:val="0"/>
          <w:sz w:val="15"/>
        </w:rPr>
        <w:t>），能够阅读英文论文、API 文档和开源项目说明。</w:t>
      </w:r>
    </w:p>
    <w:p w14:paraId="7F8A736A">
      <w:pPr>
        <w:spacing w:before="0" w:after="20" w:line="245" w:lineRule="auto"/>
        <w:ind w:left="220" w:hanging="220"/>
        <w:rPr>
          <w:rFonts w:ascii="Arial" w:hAnsi="Arial" w:eastAsia="Noto Sans CJK SC"/>
          <w:b w:val="0"/>
          <w:sz w:val="15"/>
        </w:rPr>
      </w:pPr>
    </w:p>
    <w:p w14:paraId="30F352C7">
      <w:pPr>
        <w:pBdr>
          <w:bottom w:val="single" w:color="B5B5B5" w:sz="6" w:space="1"/>
        </w:pBdr>
        <w:spacing w:before="40" w:after="20" w:line="240" w:lineRule="auto"/>
      </w:pPr>
      <w:r>
        <w:rPr>
          <w:rFonts w:ascii="Arial" w:hAnsi="Arial" w:eastAsia="宋体"/>
          <w:b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3572"/>
        <w:gridCol w:w="3572"/>
      </w:tblGrid>
      <w:tr w14:paraId="75DEBFFC">
        <w:trPr>
          <w:jc w:val="center"/>
        </w:trPr>
        <w:tc>
          <w:tcPr>
            <w:tcW w:w="36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/>
            </w:pPr>
            <w:r>
              <w:t>代码逆向 Agent 设计与 Demo</w:t>
            </w:r>
          </w:p>
        </w:tc>
        <w:tc>
          <w:tcPr>
            <w:tcW w:w="41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/>
            </w:pPr>
            <w:r>
              <w:t>实习项目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/>
            </w:pPr>
            <w:r>
              <w:t>华为数据通信产品线·软转发与 NaaS 部门</w:t>
            </w:r>
          </w:p>
        </w:tc>
      </w:tr>
    </w:tbl>
    <w:p w14:paraId="1629DB16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>•  项目背景：参与华为数据通信产品线软转发与 NaaS 部门实习项目，围绕 libuv、Redis 等开源 C/C++ 基础组件开展源码逆向分析，梳理事件循环、网络 I/O、客户端请求处理等模块边界，重点还原关键函数调用链、异步回调链和句柄生命周期，为架构理解与问题定位提供结构化分析基础。</w:t>
      </w:r>
    </w:p>
    <w:p w14:paraId="1629DB16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>•  架构与规范：设计“源码索引—编译宏分析—调用图—函数指针—异步事件—验证”多 Agent 协作架构，拆分仓库解析、跨文件调用追踪、回调注册/触发关联和平台实现识别等任务；定义统一 JSON 接口、Evidence Graph、源码位置引用、配置条件与置信度字段，支持结果合并、冲突校验和自然语言报告生成。</w:t>
      </w:r>
    </w:p>
    <w:p w14:paraId="1629DB16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>•  源码分析：梳理 libuv 事件循环与 handle 生命周期、Redis 事件驱动请求链，区分直接调用、回调边、函数指针候选和跨平台实现。</w:t>
      </w:r>
    </w:p>
    <w:p w14:paraId="1629DB16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>•  工程产出：设计 AnalysisRequest / AgentResult JSON Schema，输出 Mermaid 调用关系图、Demo 验证报告和汇报 PPT，强调固定 commit、编译配置和源码位置可复核。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3572"/>
        <w:gridCol w:w="3572"/>
      </w:tblGrid>
      <w:tr w14:paraId="75DEBFFC">
        <w:trPr>
          <w:jc w:val="center"/>
        </w:trPr>
        <w:tc>
          <w:tcPr>
            <w:tcW w:w="36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9E127">
            <w:pPr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/>
                <w:sz w:val="16"/>
              </w:rPr>
              <w:t>高性能C++ HTTP服务器设计与实现</w:t>
            </w:r>
          </w:p>
        </w:tc>
        <w:tc>
          <w:tcPr>
            <w:tcW w:w="41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EE3C5">
            <w:pPr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/>
                <w:sz w:val="16"/>
              </w:rPr>
              <w:t>核心开发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6689">
            <w:pPr>
              <w:spacing w:before="0" w:after="0" w:line="240" w:lineRule="auto"/>
              <w:jc w:val="right"/>
            </w:pPr>
            <w:r>
              <w:rPr>
                <w:rFonts w:ascii="Arial" w:hAnsi="Arial" w:eastAsia="宋体"/>
                <w:b/>
                <w:sz w:val="16"/>
              </w:rPr>
              <w:t>C++11/14 / Linux Socket / 线程池</w:t>
            </w:r>
          </w:p>
        </w:tc>
      </w:tr>
    </w:tbl>
    <w:p w14:paraId="1629DB16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 xml:space="preserve">•  </w:t>
      </w:r>
      <w:r>
        <w:rPr>
          <w:rFonts w:ascii="Arial" w:hAnsi="Arial" w:eastAsia="宋体"/>
          <w:b/>
          <w:sz w:val="15"/>
        </w:rPr>
        <w:t>项目背景：</w:t>
      </w:r>
      <w:r>
        <w:rPr>
          <w:rFonts w:ascii="Arial" w:hAnsi="Arial" w:eastAsia="宋体"/>
          <w:b w:val="0"/>
          <w:sz w:val="15"/>
        </w:rPr>
        <w:t>基于 Linux Socket API 实现轻量级 HTTP 服务，完成 TCP 连接管理、HTTP 报文解析、静态文件访问和多线程并发处理，适合作为 C++ 后端入门项目。</w:t>
      </w:r>
    </w:p>
    <w:p w14:paraId="51AC62C6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 xml:space="preserve">•  </w:t>
      </w:r>
      <w:r>
        <w:rPr>
          <w:rFonts w:ascii="Arial" w:hAnsi="Arial" w:eastAsia="宋体"/>
          <w:b/>
          <w:sz w:val="15"/>
        </w:rPr>
        <w:t>网络通信基础：</w:t>
      </w:r>
      <w:r>
        <w:rPr>
          <w:rFonts w:ascii="Arial" w:hAnsi="Arial" w:eastAsia="宋体"/>
          <w:b w:val="0"/>
          <w:sz w:val="15"/>
        </w:rPr>
        <w:t>完成 socket 创建、端口绑定、监听、accept 连接接收、recv/read 数据读取与 send/write 响应返回，熟悉服务端阻塞式 I/O 基本流程。</w:t>
      </w:r>
    </w:p>
    <w:p w14:paraId="607EC29D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 xml:space="preserve">•  </w:t>
      </w:r>
      <w:r>
        <w:rPr>
          <w:rFonts w:ascii="Arial" w:hAnsi="Arial" w:eastAsia="宋体"/>
          <w:b/>
          <w:sz w:val="15"/>
        </w:rPr>
        <w:t>HTTP协议解析：</w:t>
      </w:r>
      <w:r>
        <w:rPr>
          <w:rFonts w:ascii="Arial" w:hAnsi="Arial" w:eastAsia="宋体"/>
          <w:b w:val="0"/>
          <w:sz w:val="15"/>
        </w:rPr>
        <w:t>实现请求行、请求头与请求体解析，提取请求方法、URL、HTTP 版本、Host、Connection 等字段，并根据资源类型生成响应头。</w:t>
      </w:r>
    </w:p>
    <w:p w14:paraId="3A189D51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 xml:space="preserve">•  </w:t>
      </w:r>
      <w:r>
        <w:rPr>
          <w:rFonts w:ascii="Arial" w:hAnsi="Arial" w:eastAsia="宋体"/>
          <w:b/>
          <w:sz w:val="15"/>
        </w:rPr>
        <w:t>静态文件服务：</w:t>
      </w:r>
      <w:r>
        <w:rPr>
          <w:rFonts w:ascii="Arial" w:hAnsi="Arial" w:eastAsia="宋体"/>
          <w:b w:val="0"/>
          <w:sz w:val="15"/>
        </w:rPr>
        <w:t>支持 HTML、CSS、JS 等静态资源访问，根据请求路径定位本地文件，完成 200、404、500 等基础状态码与 Content-Type、Content-Length 返回。</w:t>
      </w:r>
    </w:p>
    <w:p w14:paraId="770F605E">
      <w:pPr>
        <w:spacing w:before="0" w:after="10" w:line="240" w:lineRule="auto"/>
        <w:ind w:left="0" w:firstLine="0"/>
      </w:pPr>
      <w:r>
        <w:rPr>
          <w:rFonts w:ascii="Arial" w:hAnsi="Arial" w:eastAsia="宋体"/>
          <w:b w:val="0"/>
          <w:sz w:val="15"/>
        </w:rPr>
        <w:t xml:space="preserve">•  </w:t>
      </w:r>
      <w:r>
        <w:rPr>
          <w:rFonts w:ascii="Arial" w:hAnsi="Arial" w:eastAsia="宋体"/>
          <w:b/>
          <w:sz w:val="15"/>
        </w:rPr>
        <w:t>并发处理设计：</w:t>
      </w:r>
      <w:r>
        <w:rPr>
          <w:rFonts w:ascii="Arial" w:hAnsi="Arial" w:eastAsia="宋体"/>
          <w:b w:val="0"/>
          <w:sz w:val="15"/>
        </w:rPr>
        <w:t>使用线程池复用工作线程，主线程负责 accept 新连接并将任务放入队列，工作线程通过 condition_variable 唤醒后处理请求，体现生产者-消费者模型。</w:t>
      </w:r>
    </w:p>
    <w:p w14:paraId="741D960B">
      <w:pPr>
        <w:spacing w:before="0" w:after="10" w:line="240" w:lineRule="auto"/>
        <w:ind w:left="0" w:firstLine="0"/>
        <w:rPr>
          <w:rFonts w:ascii="Arial" w:hAnsi="Arial" w:eastAsia="宋体"/>
          <w:b w:val="0"/>
          <w:sz w:val="15"/>
        </w:rPr>
      </w:pPr>
      <w:r>
        <w:rPr>
          <w:rFonts w:ascii="Arial" w:hAnsi="Arial" w:eastAsia="宋体"/>
          <w:b w:val="0"/>
          <w:sz w:val="15"/>
        </w:rPr>
        <w:t xml:space="preserve">•  </w:t>
      </w:r>
      <w:r>
        <w:rPr>
          <w:rFonts w:ascii="Arial" w:hAnsi="Arial" w:eastAsia="宋体"/>
          <w:b/>
          <w:sz w:val="15"/>
        </w:rPr>
        <w:t>性能与稳定性：</w:t>
      </w:r>
      <w:r>
        <w:rPr>
          <w:rFonts w:ascii="Arial" w:hAnsi="Arial" w:eastAsia="宋体"/>
          <w:b w:val="0"/>
          <w:sz w:val="15"/>
        </w:rPr>
        <w:t>通过缓冲区复用减少重复内存分配，避免每个连接频繁创建线程；补充异常分支处理和日志输出，便于定位端口占用、请求格式错误和文件不存在等问题。</w:t>
      </w:r>
    </w:p>
    <w:p w14:paraId="03033AF1">
      <w:pPr>
        <w:spacing w:before="0" w:after="10" w:line="240" w:lineRule="auto"/>
        <w:ind w:left="0" w:firstLine="0"/>
        <w:rPr>
          <w:rFonts w:ascii="Arial" w:hAnsi="Arial" w:eastAsia="宋体"/>
          <w:b w:val="0"/>
          <w:sz w:val="15"/>
        </w:rPr>
      </w:pPr>
      <w:bookmarkStart w:id="0" w:name="_GoBack"/>
      <w:bookmarkEnd w:id="0"/>
    </w:p>
    <w:p w14:paraId="16969EF6">
      <w:pPr>
        <w:spacing w:before="0" w:after="10" w:line="240" w:lineRule="auto"/>
        <w:ind w:left="0" w:firstLine="0"/>
        <w:rPr>
          <w:rFonts w:ascii="Arial" w:hAnsi="Arial" w:eastAsia="宋体"/>
          <w:b w:val="0"/>
          <w:sz w:val="15"/>
        </w:rPr>
      </w:pPr>
    </w:p>
    <w:p w14:paraId="7BB1F049">
      <w:pPr>
        <w:spacing w:before="0" w:after="10" w:line="240" w:lineRule="auto"/>
        <w:ind w:left="0" w:firstLine="0"/>
        <w:rPr>
          <w:rFonts w:ascii="Arial" w:hAnsi="Arial" w:eastAsia="宋体"/>
          <w:b w:val="0"/>
          <w:sz w:val="15"/>
        </w:rPr>
      </w:pPr>
    </w:p>
    <w:p w14:paraId="08FFFF3A">
      <w:pPr>
        <w:spacing w:before="0" w:after="10" w:line="240" w:lineRule="auto"/>
        <w:ind w:left="0" w:firstLine="0"/>
      </w:pPr>
    </w:p>
    <w:p w14:paraId="4E5BFD38">
      <w:pPr>
        <w:pBdr>
          <w:bottom w:val="single" w:color="B5B5B5" w:sz="6" w:space="1"/>
        </w:pBdr>
        <w:spacing w:before="40" w:after="20" w:line="240" w:lineRule="auto"/>
      </w:pPr>
      <w:r>
        <w:rPr>
          <w:rFonts w:ascii="Arial" w:hAnsi="Arial" w:eastAsia="宋体"/>
          <w:b/>
          <w:sz w:val="22"/>
        </w:rPr>
        <w:t>科研背景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3572"/>
        <w:gridCol w:w="3572"/>
      </w:tblGrid>
      <w:tr w14:paraId="34B0888B">
        <w:trPr>
          <w:jc w:val="center"/>
        </w:trPr>
        <w:tc>
          <w:tcPr>
            <w:tcW w:w="36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650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sz w:val="16"/>
              </w:rPr>
              <w:t>ECG-aB</w:t>
            </w:r>
            <w:r>
              <w:rPr>
                <w:rFonts w:hint="eastAsia"/>
                <w:b/>
                <w:sz w:val="16"/>
                <w:lang w:val="en-US" w:eastAsia="zh-CN"/>
              </w:rPr>
              <w:t>c</w:t>
            </w:r>
            <w:r>
              <w:rPr>
                <w:rFonts w:ascii="Arial" w:hAnsi="Arial" w:eastAsia="Noto Sans CJK SC"/>
                <w:b/>
                <w:sz w:val="16"/>
              </w:rPr>
              <w:t>De通用ECG编码方法</w:t>
            </w:r>
          </w:p>
        </w:tc>
        <w:tc>
          <w:tcPr>
            <w:tcW w:w="41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2592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学生第三作者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4EC33">
            <w:pPr>
              <w:spacing w:before="0" w:after="0" w:line="240" w:lineRule="auto"/>
              <w:jc w:val="right"/>
            </w:pPr>
            <w:r>
              <w:rPr>
                <w:rFonts w:ascii="Arial" w:hAnsi="Arial" w:eastAsia="Noto Sans CJK SC"/>
                <w:b/>
                <w:sz w:val="16"/>
              </w:rPr>
              <w:t>论文项目</w:t>
            </w:r>
          </w:p>
        </w:tc>
      </w:tr>
    </w:tbl>
    <w:p w14:paraId="02AB3E01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>•  研究问题：论文《ECG-aBcDe: Overcoming model dependence, encoding ECG into a universal language for any large language model》面向 ECG 与 LLM 融合中的模型依赖、时间尺度建模和结果可解释性问题，探索可跨模型复用的 ECG 表示。</w:t>
      </w:r>
      <w:r>
        <w:rPr>
          <w:rFonts w:ascii="Arial" w:hAnsi="Arial" w:eastAsia="Noto Sans CJK SC"/>
          <w:b/>
          <w:sz w:val="15"/>
        </w:rPr>
      </w:r>
      <w:r>
        <w:rPr>
          <w:rFonts w:ascii="Arial" w:hAnsi="Arial" w:eastAsia="Noto Sans CJK SC"/>
          <w:b w:val="0"/>
          <w:sz w:val="15"/>
        </w:rPr>
      </w:r>
      <w:r>
        <w:rPr>
          <w:rFonts w:hint="default"/>
          <w:b w:val="0"/>
          <w:sz w:val="15"/>
          <w:lang w:val="en-US"/>
        </w:rPr>
      </w:r>
      <w:r>
        <w:rPr>
          <w:rFonts w:ascii="Arial" w:hAnsi="Arial" w:eastAsia="Noto Sans CJK SC"/>
          <w:b w:val="0"/>
          <w:sz w:val="15"/>
        </w:rPr>
      </w:r>
    </w:p>
    <w:p w14:paraId="777CDB56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>•  方法设计：通过检测 ECG 关键点并量化关键点间间隔，将连续信号编码为交替包含波形关键点与时间间隔的离散“ECG language”；构造 ECG language 与自然语言混合数据集，在不修改 LLM 架构的情况下直接微调预训练 LLM。</w:t>
      </w:r>
      <w:r>
        <w:rPr>
          <w:rFonts w:ascii="Arial" w:hAnsi="Arial" w:eastAsia="Noto Sans CJK SC"/>
          <w:b/>
          <w:sz w:val="15"/>
        </w:rPr>
      </w:r>
      <w:r>
        <w:rPr>
          <w:rFonts w:ascii="Arial" w:hAnsi="Arial" w:eastAsia="Noto Sans CJK SC"/>
          <w:b w:val="0"/>
          <w:sz w:val="15"/>
        </w:rPr>
      </w:r>
    </w:p>
    <w:p w14:paraId="581CB366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>•  实验结果：在 PTB-XL / MIMIC-IV 的同分布和零样本跨数据集任务上验证模型适配性；BLEU-4 最高 43.37，跨数据集最高 35.82；微调显存降低 36.4%，PTB-XL 诊断任务平均准确率达到 72.18%。</w:t>
      </w:r>
      <w:r>
        <w:rPr>
          <w:rFonts w:ascii="Arial" w:hAnsi="Arial" w:eastAsia="Noto Sans CJK SC"/>
          <w:b/>
          <w:sz w:val="15"/>
        </w:rPr>
      </w:r>
      <w:r>
        <w:rPr>
          <w:rFonts w:ascii="Arial" w:hAnsi="Arial" w:eastAsia="Noto Sans CJK SC"/>
          <w:b w:val="0"/>
          <w:sz w:val="15"/>
        </w:rPr>
      </w:r>
    </w:p>
    <w:p w14:paraId="730FBD97">
      <w:pPr>
        <w:spacing w:before="0" w:after="20" w:line="245" w:lineRule="auto"/>
        <w:ind w:left="220" w:hanging="220"/>
        <w:rPr>
          <w:rFonts w:ascii="Arial" w:hAnsi="Arial" w:eastAsia="Noto Sans CJK SC"/>
          <w:b w:val="0"/>
          <w:sz w:val="15"/>
        </w:rPr>
      </w:pPr>
      <w:r>
        <w:rPr>
          <w:rFonts w:ascii="Arial" w:hAnsi="Arial" w:eastAsia="Noto Sans CJK SC"/>
          <w:b w:val="0"/>
          <w:sz w:val="15"/>
        </w:rPr>
        <w:t>•  个人贡献：作为第三作者，参与数据整理、软件实现、实验考察和结果可视化，协助完成实验材料整理与论文结果表达。</w:t>
      </w:r>
      <w:r>
        <w:rPr>
          <w:rFonts w:ascii="Arial" w:hAnsi="Arial" w:eastAsia="Noto Sans CJK SC"/>
          <w:b/>
          <w:sz w:val="15"/>
        </w:rPr>
      </w:r>
      <w:r>
        <w:rPr>
          <w:rFonts w:ascii="Arial" w:hAnsi="Arial" w:eastAsia="Noto Sans CJK SC"/>
          <w:b w:val="0"/>
          <w:sz w:val="15"/>
        </w:rPr>
      </w:r>
    </w:p>
    <w:p w14:paraId="7900C197">
      <w:pPr>
        <w:spacing w:before="0" w:after="20" w:line="245" w:lineRule="auto"/>
        <w:ind w:left="220" w:hanging="220"/>
        <w:rPr>
          <w:rFonts w:ascii="Arial" w:hAnsi="Arial" w:eastAsia="Noto Sans CJK SC"/>
          <w:b w:val="0"/>
          <w:sz w:val="15"/>
        </w:rPr>
      </w:pPr>
    </w:p>
    <w:p w14:paraId="1BF7F49C">
      <w:pPr>
        <w:spacing w:before="0" w:after="20" w:line="245" w:lineRule="auto"/>
        <w:ind w:left="220" w:hanging="220"/>
        <w:rPr>
          <w:rFonts w:ascii="Arial" w:hAnsi="Arial" w:eastAsia="Noto Sans CJK SC"/>
          <w:b w:val="0"/>
          <w:sz w:val="15"/>
        </w:rPr>
      </w:pPr>
    </w:p>
    <w:p w14:paraId="6B858FD5">
      <w:pPr>
        <w:pBdr>
          <w:bottom w:val="single" w:color="B5B5B5" w:sz="6" w:space="1"/>
        </w:pBdr>
        <w:spacing w:before="40" w:after="20" w:line="240" w:lineRule="auto"/>
      </w:pPr>
      <w:r>
        <w:rPr>
          <w:rFonts w:ascii="Arial" w:hAnsi="Arial" w:eastAsia="宋体"/>
          <w:b/>
          <w:sz w:val="22"/>
        </w:rPr>
        <w:t>校园经历与综合能力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3572"/>
        <w:gridCol w:w="3572"/>
      </w:tblGrid>
      <w:tr w14:paraId="0FFAC1B0">
        <w:trPr>
          <w:jc w:val="center"/>
        </w:trPr>
        <w:tc>
          <w:tcPr>
            <w:tcW w:w="36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8E9E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sz w:val="16"/>
              </w:rPr>
              <w:t>校羽毛球协会 / 院队 / 朋辈辅导</w:t>
            </w:r>
          </w:p>
        </w:tc>
        <w:tc>
          <w:tcPr>
            <w:tcW w:w="41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FFB0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6"/>
              </w:rPr>
              <w:t>组织与协作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D37CD">
            <w:pPr>
              <w:spacing w:before="0" w:after="0" w:line="240" w:lineRule="auto"/>
              <w:jc w:val="right"/>
            </w:pPr>
            <w:r>
              <w:rPr>
                <w:rFonts w:ascii="Arial" w:hAnsi="Arial" w:eastAsia="Noto Sans CJK SC"/>
                <w:b/>
                <w:sz w:val="16"/>
              </w:rPr>
              <w:t>2023 - 至今</w:t>
            </w:r>
          </w:p>
        </w:tc>
      </w:tr>
    </w:tbl>
    <w:p w14:paraId="39E295C8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组织管理：</w:t>
      </w:r>
      <w:r>
        <w:rPr>
          <w:rFonts w:ascii="Arial" w:hAnsi="Arial" w:eastAsia="Noto Sans CJK SC"/>
          <w:b w:val="0"/>
          <w:sz w:val="15"/>
        </w:rPr>
        <w:t>担任校羽毛球协会会长、院羽毛球队队长，负责日常训练、赛事组织、人员协调和对外沟通，具备较强执行力与责任意识。</w:t>
      </w:r>
    </w:p>
    <w:p w14:paraId="20721C46">
      <w:pPr>
        <w:spacing w:before="0" w:after="20" w:line="245" w:lineRule="auto"/>
        <w:ind w:left="220" w:hanging="220"/>
      </w:pPr>
      <w:r>
        <w:rPr>
          <w:rFonts w:ascii="Arial" w:hAnsi="Arial" w:eastAsia="Noto Sans CJK SC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沟通表达：</w:t>
      </w:r>
      <w:r>
        <w:rPr>
          <w:rFonts w:ascii="Arial" w:hAnsi="Arial" w:eastAsia="Noto Sans CJK SC"/>
          <w:b w:val="0"/>
          <w:sz w:val="15"/>
        </w:rPr>
        <w:t>担任朋辈级学业辅导员、组宣&amp;文体委员，能够面向同学开展学习支持、活动宣传和班级事务协同，表达清晰、反馈及时。</w:t>
      </w:r>
    </w:p>
    <w:p w14:paraId="7AAD53B4">
      <w:pPr>
        <w:spacing w:before="0" w:after="10" w:line="240" w:lineRule="auto"/>
        <w:ind w:left="0" w:firstLine="0"/>
        <w:rPr>
          <w:rFonts w:ascii="Arial" w:hAnsi="Arial" w:eastAsia="Noto Sans CJK SC"/>
          <w:b w:val="0"/>
          <w:sz w:val="15"/>
        </w:rPr>
      </w:pPr>
      <w:r>
        <w:rPr>
          <w:rFonts w:ascii="Arial" w:hAnsi="Arial" w:eastAsia="宋体"/>
          <w:b w:val="0"/>
          <w:sz w:val="15"/>
        </w:rPr>
        <w:t xml:space="preserve">•  </w:t>
      </w:r>
      <w:r>
        <w:rPr>
          <w:rFonts w:ascii="Arial" w:hAnsi="Arial" w:eastAsia="Noto Sans CJK SC"/>
          <w:b/>
          <w:sz w:val="15"/>
        </w:rPr>
        <w:t>个人特质：</w:t>
      </w:r>
      <w:r>
        <w:rPr>
          <w:rFonts w:ascii="Arial" w:hAnsi="Arial" w:eastAsia="Noto Sans CJK SC"/>
          <w:b w:val="0"/>
          <w:sz w:val="15"/>
        </w:rPr>
        <w:t>学习主动性强，能够在项目中快速补齐知识短板；面对问题注重拆解、记录和复盘，适合 C++ 后端开发、网络服务开发和嵌入式软件开发方向。</w:t>
      </w:r>
    </w:p>
    <w:p w14:paraId="522C9EFF">
      <w:pPr>
        <w:spacing w:before="0" w:after="10" w:line="240" w:lineRule="auto"/>
        <w:ind w:left="0" w:firstLine="0"/>
        <w:rPr>
          <w:rFonts w:ascii="Arial" w:hAnsi="Arial" w:eastAsia="宋体"/>
          <w:b w:val="0"/>
          <w:sz w:val="15"/>
        </w:rPr>
      </w:pPr>
    </w:p>
    <w:p w14:paraId="71F71BEE">
      <w:pPr>
        <w:spacing w:before="0" w:after="10" w:line="240" w:lineRule="auto"/>
        <w:ind w:left="0" w:firstLine="0"/>
        <w:rPr>
          <w:rFonts w:ascii="Arial" w:hAnsi="Arial" w:eastAsia="宋体"/>
          <w:b w:val="0"/>
          <w:sz w:val="15"/>
        </w:rPr>
      </w:pPr>
    </w:p>
    <w:p w14:paraId="07EC6979">
      <w:pPr>
        <w:spacing w:before="40" w:after="0" w:line="240" w:lineRule="auto"/>
        <w:jc w:val="center"/>
      </w:pPr>
    </w:p>
    <w:sectPr>
      <w:pgSz w:w="11906" w:h="16838"/>
      <w:pgMar w:top="351" w:right="595" w:bottom="312" w:left="59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B3704E"/>
    <w:rsid w:val="79CC7E95"/>
    <w:rsid w:val="7BEFD0DD"/>
    <w:rsid w:val="7DD24442"/>
    <w:rsid w:val="7EAF4F9B"/>
    <w:rsid w:val="7FA37425"/>
    <w:rsid w:val="877FFA44"/>
    <w:rsid w:val="BBBABD8A"/>
    <w:rsid w:val="D16FEFDA"/>
    <w:rsid w:val="FF3E1559"/>
    <w:rsid w:val="FFBFA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SC" w:cstheme="minorBidi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孙业腾</cp:lastModifiedBy>
  <dcterms:modified xsi:type="dcterms:W3CDTF">2026-08-22T14:07:57Z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27E42C610AD355637242216AFB2D0302_42</vt:lpwstr>
  </property>
</Properties>
</file>