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0"/>
      </w:pPr>
    </w:p>
    <w:p>
      <w:pPr>
        <w:spacing w:after="100"/>
      </w:pPr>
      <w:r>
        <w:rPr>
          <w:rFonts w:ascii="Arial" w:cs="Arial" w:eastAsia="Arial" w:hAnsi="Arial"/>
          <w:b/>
          <w:bCs/>
          <w:color w:val="1A1A2E"/>
          <w:sz w:val="44"/>
          <w:szCs w:val="44"/>
        </w:rPr>
        <w:t xml:space="preserve">EQUIPMENT VALUATION REPORT</w:t>
      </w:r>
    </w:p>
    <w:p>
      <w:pPr>
        <w:pBdr>
          <w:bottom w:val="single" w:color="E85D04" w:sz="6" w:space="8"/>
        </w:pBdr>
        <w:spacing w:after="300"/>
      </w:pPr>
      <w:r>
        <w:rPr>
          <w:rFonts w:ascii="Arial" w:cs="Arial" w:eastAsia="Arial" w:hAnsi="Arial"/>
          <w:color w:val="0077B6"/>
          <w:sz w:val="32"/>
          <w:szCs w:val="32"/>
        </w:rPr>
        <w:t xml:space="preserve">Fresh Water Transfer Pump Packages</w:t>
      </w:r>
    </w:p>
    <w:p>
      <w:pPr>
        <w:spacing w:after="200"/>
      </w:pPr>
    </w:p>
    <w:tbl>
      <w:tblPr>
        <w:tblW w:type="dxa" w:w="6000"/>
        <w:tblBorders>
          <w:top w:val="single" w:color="auto" w:sz="4"/>
          <w:left w:val="single" w:color="auto" w:sz="4"/>
          <w:bottom w:val="single" w:color="auto" w:sz="4"/>
          <w:right w:val="single" w:color="auto" w:sz="4"/>
          <w:insideH w:val="single" w:color="auto" w:sz="4"/>
          <w:insideV w:val="single" w:color="auto" w:sz="4"/>
        </w:tblBorders>
      </w:tblPr>
      <w:tblGrid>
        <w:gridCol w:w="2000"/>
        <w:gridCol w:w="4000"/>
      </w:tblGrid>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Prepared For:</w:t>
            </w:r>
          </w:p>
        </w:tc>
        <w:tc>
          <w:tcPr>
            <w:tcW w:type="dxa" w:w="4000"/>
            <w:tcBorders>
              <w:top w:val="none"/>
              <w:left w:val="none"/>
              <w:bottom w:val="none"/>
              <w:right w:val="none"/>
            </w:tcBorders>
            <w:tcMar>
              <w:top w:type="dxa" w:w="40"/>
              <w:bottom w:type="dxa" w:w="40"/>
            </w:tcMar>
          </w:tcPr>
          <w:p>
            <w:r>
              <w:rPr>
                <w:rFonts w:ascii="Arial" w:cs="Arial" w:eastAsia="Arial" w:hAnsi="Arial"/>
                <w:b/>
                <w:bCs/>
                <w:color w:val="1A1A2E"/>
                <w:sz w:val="22"/>
                <w:szCs w:val="22"/>
              </w:rPr>
              <w:t xml:space="preserve">ARC Resources Ltd.</w:t>
            </w:r>
          </w:p>
        </w:tc>
      </w:tr>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Contact:</w:t>
            </w:r>
          </w:p>
        </w:tc>
        <w:tc>
          <w:tcPr>
            <w:tcW w:type="dxa" w:w="4000"/>
            <w:tcBorders>
              <w:top w:val="none"/>
              <w:left w:val="none"/>
              <w:bottom w:val="none"/>
              <w:right w:val="none"/>
            </w:tcBorders>
            <w:tcMar>
              <w:top w:type="dxa" w:w="40"/>
              <w:bottom w:type="dxa" w:w="40"/>
            </w:tcMar>
          </w:tcPr>
          <w:p>
            <w:r>
              <w:rPr>
                <w:rFonts w:ascii="Arial" w:cs="Arial" w:eastAsia="Arial" w:hAnsi="Arial"/>
                <w:color w:val="1A1A2E"/>
                <w:sz w:val="22"/>
                <w:szCs w:val="22"/>
              </w:rPr>
              <w:t xml:space="preserve">Josh Clark, Stefania Mitran Parent</w:t>
            </w:r>
          </w:p>
        </w:tc>
      </w:tr>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Prepared By:</w:t>
            </w:r>
          </w:p>
        </w:tc>
        <w:tc>
          <w:tcPr>
            <w:tcW w:type="dxa" w:w="4000"/>
            <w:tcBorders>
              <w:top w:val="none"/>
              <w:left w:val="none"/>
              <w:bottom w:val="none"/>
              <w:right w:val="none"/>
            </w:tcBorders>
            <w:tcMar>
              <w:top w:type="dxa" w:w="40"/>
              <w:bottom w:type="dxa" w:w="40"/>
            </w:tcMar>
          </w:tcPr>
          <w:p>
            <w:r>
              <w:rPr>
                <w:rFonts w:ascii="Arial" w:cs="Arial" w:eastAsia="Arial" w:hAnsi="Arial"/>
                <w:b/>
                <w:bCs/>
                <w:color w:val="1A1A2E"/>
                <w:sz w:val="22"/>
                <w:szCs w:val="22"/>
              </w:rPr>
              <w:t xml:space="preserve">Fuelled Technologies Inc.</w:t>
            </w:r>
          </w:p>
        </w:tc>
      </w:tr>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Date:</w:t>
            </w:r>
          </w:p>
        </w:tc>
        <w:tc>
          <w:tcPr>
            <w:tcW w:type="dxa" w:w="4000"/>
            <w:tcBorders>
              <w:top w:val="none"/>
              <w:left w:val="none"/>
              <w:bottom w:val="none"/>
              <w:right w:val="none"/>
            </w:tcBorders>
            <w:tcMar>
              <w:top w:type="dxa" w:w="40"/>
              <w:bottom w:type="dxa" w:w="40"/>
            </w:tcMar>
          </w:tcPr>
          <w:p>
            <w:r>
              <w:rPr>
                <w:rFonts w:ascii="Arial" w:cs="Arial" w:eastAsia="Arial" w:hAnsi="Arial"/>
                <w:color w:val="1A1A2E"/>
                <w:sz w:val="22"/>
                <w:szCs w:val="22"/>
              </w:rPr>
              <w:t xml:space="preserve">March 10, 2026</w:t>
            </w:r>
          </w:p>
        </w:tc>
      </w:tr>
      <w:tr>
        <w:tc>
          <w:tcPr>
            <w:tcW w:type="dxa" w:w="2000"/>
            <w:tcBorders>
              <w:top w:val="none"/>
              <w:left w:val="none"/>
              <w:bottom w:val="none"/>
              <w:right w:val="none"/>
            </w:tcBorders>
            <w:tcMar>
              <w:top w:type="dxa" w:w="40"/>
              <w:bottom w:type="dxa" w:w="40"/>
            </w:tcMar>
          </w:tcPr>
          <w:p>
            <w:r>
              <w:rPr>
                <w:rFonts w:ascii="Arial" w:cs="Arial" w:eastAsia="Arial" w:hAnsi="Arial"/>
                <w:color w:val="666666"/>
                <w:sz w:val="22"/>
                <w:szCs w:val="22"/>
              </w:rPr>
              <w:t xml:space="preserve">Reference:</w:t>
            </w:r>
          </w:p>
        </w:tc>
        <w:tc>
          <w:tcPr>
            <w:tcW w:type="dxa" w:w="4000"/>
            <w:tcBorders>
              <w:top w:val="none"/>
              <w:left w:val="none"/>
              <w:bottom w:val="none"/>
              <w:right w:val="none"/>
            </w:tcBorders>
            <w:tcMar>
              <w:top w:type="dxa" w:w="40"/>
              <w:bottom w:type="dxa" w:w="40"/>
            </w:tcMar>
          </w:tcPr>
          <w:p>
            <w:r>
              <w:rPr>
                <w:rFonts w:ascii="Arial" w:cs="Arial" w:eastAsia="Arial" w:hAnsi="Arial"/>
                <w:color w:val="1A1A2E"/>
                <w:sz w:val="22"/>
                <w:szCs w:val="22"/>
              </w:rPr>
              <w:t xml:space="preserve">FV-2026-0312 | E19-421</w:t>
            </w:r>
          </w:p>
        </w:tc>
      </w:tr>
    </w:tbl>
    <w:p>
      <w:pPr>
        <w:spacing w:after="1200"/>
      </w:pPr>
    </w:p>
    <w:p>
      <w:r>
        <w:rPr>
          <w:rFonts w:ascii="Arial" w:cs="Arial" w:eastAsia="Arial" w:hAnsi="Arial"/>
          <w:b/>
          <w:bCs/>
          <w:i/>
          <w:iCs/>
          <w:color w:val="666666"/>
          <w:sz w:val="20"/>
          <w:szCs w:val="20"/>
        </w:rPr>
        <w:t xml:space="preserve">CONFIDENTIAL</w:t>
      </w:r>
    </w:p>
    <w:p>
      <w:r>
        <w:rPr>
          <w:rFonts w:ascii="Arial" w:cs="Arial" w:eastAsia="Arial" w:hAnsi="Arial"/>
          <w:i/>
          <w:iCs/>
          <w:color w:val="666666"/>
          <w:sz w:val="18"/>
          <w:szCs w:val="18"/>
        </w:rPr>
        <w:t xml:space="preserve">This report is prepared exclusively for ARC Resources Ltd. and is not intended for distribution to third parties without prior written consent from Fuelled Technologies Inc.</w:t>
      </w:r>
    </w:p>
    <w:p>
      <w:pPr>
        <w:sectPr>
          <w:pgSz w:w="12240" w:h="15840" w:orient="portrait"/>
          <w:pgMar w:top="1440" w:right="1440" w:bottom="1440" w:left="1440" w:header="708" w:footer="708" w:gutter="0"/>
          <w:pgNumType/>
          <w:docGrid w:linePitch="360"/>
        </w:sectPr>
      </w:pPr>
    </w:p>
    <w:p>
      <w:pPr>
        <w:pStyle w:val="Heading1"/>
      </w:pPr>
      <w:r>
        <w:t xml:space="preserve">Executive Summary</w:t>
      </w:r>
    </w:p>
    <w:p>
      <w:pPr>
        <w:spacing w:after="180"/>
      </w:pPr>
      <w:r>
        <w:rPr>
          <w:rFonts w:ascii="Arial" w:cs="Arial" w:eastAsia="Arial" w:hAnsi="Arial"/>
          <w:color w:val="333333"/>
          <w:sz w:val="22"/>
          <w:szCs w:val="22"/>
        </w:rPr>
        <w:t xml:space="preserve">ARC Resources Ltd. has requested a fair market valuation for four (4) electric fresh water transfer pump packages currently surplus to operational requirements. These packages were originally built by CSM Pump Packaging Inc. (Nisku, AB) for Seven Generations Energy Ltd. (now ARC Resources) and deployed in the Grande Prairie area for Montney fresh water infrastructure.</w:t>
      </w:r>
    </w:p>
    <w:p>
      <w:pPr>
        <w:spacing w:after="180"/>
      </w:pPr>
      <w:r>
        <w:rPr>
          <w:rFonts w:ascii="Arial" w:cs="Arial" w:eastAsia="Arial" w:hAnsi="Arial"/>
          <w:color w:val="333333"/>
          <w:sz w:val="22"/>
          <w:szCs w:val="22"/>
        </w:rPr>
        <w:t xml:space="preserve">Each package is a complete, self-contained unit consisting of a Pioneer centrifugal pump rated at 20,000 m³/day at 200 PSIG, driven by a WEG 700 HP electric motor with variable frequency drive (VFD), housed in a purpose-built Class I Division II building with integrated MCC room, switchgear, HVAC, and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Valuation Summary</w:t>
            </w:r>
          </w:p>
        </w:tc>
        <w:tc>
          <w:tcPr>
            <w:tcW w:type="dxa" w:w="58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Estimated Replacement Cost New (RCN)</w:t>
            </w:r>
          </w:p>
        </w:tc>
        <w:tc>
          <w:tcPr>
            <w:tcW w:type="dxa" w:w="58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$742,500 per unit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Fair Market Value Range (4 units)</w:t>
            </w:r>
          </w:p>
        </w:tc>
        <w:tc>
          <w:tcPr>
            <w:tcW w:type="dxa" w:w="58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$270,000 – $320,000 per unit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Total Portfolio Value (4 units)</w:t>
            </w:r>
          </w:p>
        </w:tc>
        <w:tc>
          <w:tcPr>
            <w:tcW w:type="dxa" w:w="58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$1,130,000 – $1,240,000</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Valuation Basis</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Fair Market Value — willing buyer / willing seller, reasonable exposure to market</w:t>
            </w:r>
          </w:p>
        </w:tc>
      </w:tr>
      <w:tr>
        <w:tc>
          <w:tcPr>
            <w:tcW w:type="dxa" w:w="3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Effective Date</w:t>
            </w:r>
          </w:p>
        </w:tc>
        <w:tc>
          <w:tcPr>
            <w:tcW w:type="dxa" w:w="58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March 10, 2026</w:t>
            </w:r>
          </w:p>
        </w:tc>
      </w:tr>
    </w:tbl>
    <w:p>
      <w:pPr>
        <w:spacing w:after="120"/>
      </w:pPr>
    </w:p>
    <w:p>
      <w:pPr>
        <w:spacing w:after="180"/>
      </w:pPr>
      <w:r>
        <w:rPr>
          <w:rFonts w:ascii="Arial" w:cs="Arial" w:eastAsia="Arial" w:hAnsi="Arial"/>
          <w:color w:val="333333"/>
          <w:sz w:val="22"/>
          <w:szCs w:val="22"/>
        </w:rPr>
        <w:t xml:space="preserve">These valuations reflect current market conditions for used electric water transfer equipment in the Western Canadian Sedimentary Basin (WCSB), adjusted for age, operating hours, condition, and configuration. Specific unit-by-unit valuations are detailed in Section 5.</w:t>
      </w:r>
    </w:p>
    <w:p>
      <w:pPr>
        <w:pBdr>
          <w:bottom w:val="single" w:color="E85D04" w:sz="3" w:space="1"/>
        </w:pBdr>
        <w:spacing w:before="200" w:after="200"/>
      </w:pPr>
    </w:p>
    <w:p>
      <w:pPr>
        <w:pStyle w:val="Heading1"/>
      </w:pPr>
      <w:r>
        <w:t xml:space="preserve">Equipment Description</w:t>
      </w:r>
    </w:p>
    <w:p>
      <w:pPr>
        <w:pStyle w:val="Heading2"/>
      </w:pPr>
      <w:r>
        <w:t xml:space="preserve">Package Overview</w:t>
      </w:r>
    </w:p>
    <w:p>
      <w:pPr>
        <w:spacing w:after="180"/>
      </w:pPr>
      <w:r>
        <w:rPr>
          <w:rFonts w:ascii="Arial" w:cs="Arial" w:eastAsia="Arial" w:hAnsi="Arial"/>
          <w:color w:val="333333"/>
          <w:sz w:val="22"/>
          <w:szCs w:val="22"/>
        </w:rPr>
        <w:t xml:space="preserve">The subject equipment consists of four identical fresh water transfer pump packages, part of a larger program of ten units manufactured by CSM Pump Packaging Inc. under project E19-421 between 2019 and 2021. The packages were designed to Aztec Engineering specifications for ARC Resources (formerly Seven Generations Energy Ltd.) water infrastructure in the Grande Prairie, Alberta operating area.</w:t>
      </w:r>
    </w:p>
    <w:p>
      <w:pPr>
        <w:pStyle w:val="Heading2"/>
      </w:pPr>
      <w:r>
        <w:t xml:space="preserve">Technical Specifications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Component</w:t>
            </w:r>
          </w:p>
        </w:tc>
        <w:tc>
          <w:tcPr>
            <w:tcW w:type="dxa" w:w="6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Specification</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Pump</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Pioneer Centrifugal, Model SC10B2M17+M0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Impeller / Trim</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Stainless steel impeller, 24" trim</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Suction / Discharge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10"-150# RF suction  |  8"-150# RF discharge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Case Material</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Ductile iron pump case, single mechanical seal</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Rated Capacity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20,000 m³/day @ 200 PSIG</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Service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Sweet fresh water (non-corrosive, non-sour)</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Motor</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WEG Electric, 700 HP, 1800 RPM, 460V, 3-Phase</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Motor Enclosure</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TEFC, Class I Division II, VFD compatible with winding RTDs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Variable Frequency Drive</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VFD-P100 (VFD equipped for variable speed operation)</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Building</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Purpose-built, Class I Div II process room + MCC room, partition wall</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Electrical</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1200A splitter breaker, MCC section, control panel CP-100, distribution panel DP-100</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HVAC</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Ruffneck XP heater BH-300 (3 kW), exhaust fan EF-1000 (12" XP)</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Instrumentation</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Pressure indicators/transmitters, flow meter, RTD temperature, level switch, Rosemount 3051 transmitters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Piping Design</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ANSI 150, sweet service, A333 Gr.6 SMLS pipe, Sch 40, 1965 kPa design, -45/38°C temperature range</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Ancillary</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In-skid open sump tank T-200 (136L/35 IGAL), drain provisions</w:t>
            </w:r>
          </w:p>
        </w:tc>
      </w:tr>
      <w:tr>
        <w:tc>
          <w:tcPr>
            <w:tcW w:type="dxa" w:w="3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Package Weight</w:t>
            </w:r>
          </w:p>
        </w:tc>
        <w:tc>
          <w:tcPr>
            <w:tcW w:type="dxa" w:w="6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Approximately 14,606 kg (32,200 lbs) including 10% contingency</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Shipping Dimensions</w:t>
            </w:r>
          </w:p>
        </w:tc>
        <w:tc>
          <w:tcPr>
            <w:tcW w:type="dxa" w:w="61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9,169 x 3,302 x 3,708 mm (30’-1" L x 10’-10" W x 12’-2" H)</w:t>
            </w:r>
          </w:p>
        </w:tc>
      </w:tr>
    </w:tbl>
    <w:p>
      <w:pPr>
        <w:spacing w:after="120"/>
      </w:pPr>
    </w:p>
    <w:p>
      <w:pPr>
        <w:pStyle w:val="Heading2"/>
      </w:pPr>
      <w:r>
        <w:t xml:space="preserve">Individual Unit Details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200"/>
        <w:gridCol w:w="1780"/>
        <w:gridCol w:w="1780"/>
      </w:tblGrid>
      <w:tr>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 #</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Operating Hours</w:t>
            </w:r>
          </w:p>
        </w:tc>
        <w:tc>
          <w:tcPr>
            <w:tcW w:type="dxa" w:w="2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Original PO</w:t>
            </w:r>
          </w:p>
        </w:tc>
        <w:tc>
          <w:tcPr>
            <w:tcW w:type="dxa" w:w="17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 Date</w:t>
            </w:r>
          </w:p>
        </w:tc>
        <w:tc>
          <w:tcPr>
            <w:tcW w:type="dxa" w:w="17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Hours Assessment</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J999</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8,600</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E19-421-PO-01</w:t>
            </w:r>
          </w:p>
        </w:tc>
        <w:tc>
          <w:tcPr>
            <w:tcW w:type="dxa" w:w="1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 2019</w:t>
            </w:r>
          </w:p>
        </w:tc>
        <w:tc>
          <w:tcPr>
            <w:tcW w:type="dxa" w:w="1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2E7D32"/>
                <w:sz w:val="20"/>
                <w:szCs w:val="20"/>
              </w:rPr>
              <w:t xml:space="preserve">Normal</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J1001</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5,207</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E19-421-PO-01</w:t>
            </w:r>
          </w:p>
        </w:tc>
        <w:tc>
          <w:tcPr>
            <w:tcW w:type="dxa" w:w="1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 2019</w:t>
            </w:r>
          </w:p>
        </w:tc>
        <w:tc>
          <w:tcPr>
            <w:tcW w:type="dxa" w:w="1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E7D32"/>
                <w:sz w:val="20"/>
                <w:szCs w:val="20"/>
              </w:rPr>
              <w:t xml:space="preserve">Below Average (Premium)</w:t>
            </w:r>
          </w:p>
        </w:tc>
      </w:tr>
      <w:tr>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J1002</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9,339</w:t>
            </w:r>
          </w:p>
        </w:tc>
        <w:tc>
          <w:tcPr>
            <w:tcW w:type="dxa" w:w="2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E19-421-PO-01</w:t>
            </w:r>
          </w:p>
        </w:tc>
        <w:tc>
          <w:tcPr>
            <w:tcW w:type="dxa" w:w="1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 2019</w:t>
            </w:r>
          </w:p>
        </w:tc>
        <w:tc>
          <w:tcPr>
            <w:tcW w:type="dxa" w:w="178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F57F17"/>
                <w:sz w:val="20"/>
                <w:szCs w:val="20"/>
              </w:rPr>
              <w:t xml:space="preserve">Normal (Upper)</w:t>
            </w:r>
          </w:p>
        </w:tc>
      </w:tr>
      <w:tr>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J1008</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8,785</w:t>
            </w:r>
          </w:p>
        </w:tc>
        <w:tc>
          <w:tcPr>
            <w:tcW w:type="dxa" w:w="2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E19-421-PO-63</w:t>
            </w:r>
          </w:p>
        </w:tc>
        <w:tc>
          <w:tcPr>
            <w:tcW w:type="dxa" w:w="1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Oct 2020</w:t>
            </w:r>
          </w:p>
        </w:tc>
        <w:tc>
          <w:tcPr>
            <w:tcW w:type="dxa" w:w="178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2E7D32"/>
                <w:sz w:val="20"/>
                <w:szCs w:val="20"/>
              </w:rPr>
              <w:t xml:space="preserve">Normal</w:t>
            </w:r>
          </w:p>
        </w:tc>
      </w:tr>
    </w:tbl>
    <w:p>
      <w:pPr>
        <w:spacing w:after="80"/>
      </w:pPr>
    </w:p>
    <w:p>
      <w:pPr>
        <w:spacing w:after="180"/>
      </w:pPr>
      <w:r>
        <w:rPr>
          <w:rFonts w:ascii="Arial" w:cs="Arial" w:eastAsia="Arial" w:hAnsi="Arial"/>
          <w:b/>
          <w:bCs/>
          <w:color w:val="666666"/>
          <w:sz w:val="20"/>
          <w:szCs w:val="20"/>
        </w:rPr>
        <w:t xml:space="preserve">Note: </w:t>
      </w:r>
      <w:r>
        <w:rPr>
          <w:rFonts w:ascii="Arial" w:cs="Arial" w:eastAsia="Arial" w:hAnsi="Arial"/>
          <w:color w:val="666666"/>
          <w:sz w:val="20"/>
          <w:szCs w:val="20"/>
        </w:rPr>
        <w:t xml:space="preserve">All four units fall within the 5,000–15,000 hour range, which is considered normal operating hours for this class of equipment. Unit J1001 at 5,207 hours carries a modest premium due to remaining component life.</w:t>
      </w:r>
    </w:p>
    <w:p>
      <w:pPr>
        <w:pBdr>
          <w:bottom w:val="single" w:color="E85D04" w:sz="3" w:space="1"/>
        </w:pBdr>
        <w:spacing w:before="200" w:after="200"/>
      </w:pPr>
    </w:p>
    <w:p>
      <w:pPr>
        <w:pStyle w:val="Heading1"/>
      </w:pPr>
      <w:r>
        <w:t xml:space="preserve">Valuation Methodology</w:t>
      </w:r>
    </w:p>
    <w:p>
      <w:pPr>
        <w:spacing w:after="180"/>
      </w:pPr>
      <w:r>
        <w:rPr>
          <w:rFonts w:ascii="Arial" w:cs="Arial" w:eastAsia="Arial" w:hAnsi="Arial"/>
          <w:color w:val="333333"/>
          <w:sz w:val="22"/>
          <w:szCs w:val="22"/>
        </w:rPr>
        <w:t xml:space="preserve">This valuation employs a Replacement Cost New less Depreciation (RCN-D) methodology, which is the standard approach for specialized industrial equipment where direct market comparables may be limited. The approach establishes the current cost to replace the equipment with a functionally equivalent new unit, then applies depreciation adjustments to arrive at fair market value.</w:t>
      </w:r>
    </w:p>
    <w:p>
      <w:pPr>
        <w:pStyle w:val="Heading2"/>
      </w:pPr>
      <w:r>
        <w:t xml:space="preserve">Replacement Cost New (RCN)</w:t>
      </w:r>
    </w:p>
    <w:p>
      <w:pPr>
        <w:spacing w:after="180"/>
      </w:pPr>
      <w:r>
        <w:rPr>
          <w:rFonts w:ascii="Arial" w:cs="Arial" w:eastAsia="Arial" w:hAnsi="Arial"/>
          <w:color w:val="333333"/>
          <w:sz w:val="22"/>
          <w:szCs w:val="22"/>
        </w:rPr>
        <w:t xml:space="preserve">The RCN is derived from primary source data provided by CSM Pump Packaging Inc., the original equipment manufacturer. Nathan Hutzul of CSM provided the following cost breakdown in direct correspondence dated March 6, 2026: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4360"/>
      </w:tblGrid>
      <w:tr>
        <w:tc>
          <w:tcPr>
            <w:tcW w:type="dxa" w:w="5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Cost Component</w:t>
            </w:r>
          </w:p>
        </w:tc>
        <w:tc>
          <w:tcPr>
            <w:tcW w:type="dxa" w:w="4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Amount (CAD)</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CSM Pump Package (pump, motor, VFD, skid, piping, controls)</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$300,000</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MCC Section Completion (ARC scope — switchgear, building electrical, commissioning)</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$250,000</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Original All-In Cost (2019–2020)</w:t>
            </w:r>
          </w:p>
        </w:tc>
        <w:tc>
          <w:tcPr>
            <w:tcW w:type="dxa" w:w="4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bCs/>
                <w:color w:val="000000"/>
                <w:sz w:val="20"/>
                <w:szCs w:val="20"/>
              </w:rPr>
              <w:t xml:space="preserve">$550,000</w:t>
            </w:r>
          </w:p>
        </w:tc>
      </w:tr>
      <w:tr>
        <w:tc>
          <w:tcPr>
            <w:tcW w:type="dxa" w:w="5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Escalation Factor (OEM estimate, 2020–2026)</w:t>
            </w:r>
          </w:p>
        </w:tc>
        <w:tc>
          <w:tcPr>
            <w:tcW w:type="dxa" w:w="4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35%</w:t>
            </w:r>
          </w:p>
        </w:tc>
      </w:tr>
      <w:tr>
        <w:tc>
          <w:tcPr>
            <w:tcW w:type="dxa" w:w="5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Current Replacement Cost New (2026)</w:t>
            </w:r>
          </w:p>
        </w:tc>
        <w:tc>
          <w:tcPr>
            <w:tcW w:type="dxa" w:w="43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$742,500</w:t>
            </w:r>
          </w:p>
        </w:tc>
      </w:tr>
    </w:tbl>
    <w:p>
      <w:pPr>
        <w:spacing w:after="80"/>
      </w:pPr>
    </w:p>
    <w:p>
      <w:pPr>
        <w:spacing w:after="180"/>
      </w:pPr>
      <w:r>
        <w:rPr>
          <w:rFonts w:ascii="Arial" w:cs="Arial" w:eastAsia="Arial" w:hAnsi="Arial"/>
          <w:color w:val="666666"/>
          <w:sz w:val="20"/>
          <w:szCs w:val="20"/>
        </w:rPr>
        <w:t xml:space="preserve">The 35% escalation factor aligns with observed cost increases in Western Canadian fabrication and electrical equipment since 2020, driven by steel pricing, labor, and supply chain constraints. This figure was provided directly by the OEM with current knowledge of their fabrication costs.</w:t>
      </w:r>
    </w:p>
    <w:p>
      <w:pPr>
        <w:pStyle w:val="Heading2"/>
      </w:pPr>
      <w:r>
        <w:t xml:space="preserve">Depreciation Adjustments</w:t>
      </w:r>
    </w:p>
    <w:p>
      <w:pPr>
        <w:spacing w:after="180"/>
      </w:pPr>
      <w:r>
        <w:rPr>
          <w:rFonts w:ascii="Arial" w:cs="Arial" w:eastAsia="Arial" w:hAnsi="Arial"/>
          <w:color w:val="333333"/>
          <w:sz w:val="22"/>
          <w:szCs w:val="22"/>
        </w:rPr>
        <w:t xml:space="preserve">Fair market value is derived by applying the following adjustment factors to the RCN: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Factor</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Multiplier</w:t>
            </w:r>
          </w:p>
        </w:tc>
        <w:tc>
          <w:tcPr>
            <w:tcW w:type="dxa" w:w="5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Rationale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Age Depreciation (6 years, rotating)</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0.50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Equipment built 2019–2020. Six years of service life consumed. Standard declining balance for rotating equipment in this class.</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Physical Condition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0.75</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Assumed “B — Good” condition per PASC rating: normal wear, operational, no major deficiencies reported. Condition not independently verified.</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Operating Hours</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1.00</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All units in 5,000–10,000 hour range. This is normal for equipment of this age and type. No adjustment required at baseline.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Service Condition</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1.00</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Sweet fresh water service. No sour/NACE premium or penalty. Clean service history extends component life.</w:t>
            </w:r>
          </w:p>
        </w:tc>
      </w:tr>
      <w:tr>
        <w:tc>
          <w:tcPr>
            <w:tcW w:type="dxa" w:w="2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VFD Premium</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1.05</w:t>
            </w:r>
          </w:p>
        </w:tc>
        <w:tc>
          <w:tcPr>
            <w:tcW w:type="dxa" w:w="5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VFD-equipped packages command a premium in the secondary market due to energy efficiency, reduced mechanical stress, and operational flexibility.</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Configuration Premium</w:t>
            </w:r>
          </w:p>
        </w:tc>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bCs/>
                <w:color w:val="000000"/>
                <w:sz w:val="20"/>
                <w:szCs w:val="20"/>
              </w:rPr>
              <w:t xml:space="preserve">1.05</w:t>
            </w:r>
          </w:p>
        </w:tc>
        <w:tc>
          <w:tcPr>
            <w:tcW w:type="dxa" w:w="5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Complete turnkey packages (building, MCC, controls, HVAC) command a premium over bare pump/motor combinations. A buyer acquires a fully operational system.</w:t>
            </w:r>
          </w:p>
        </w:tc>
      </w:tr>
    </w:tbl>
    <w:p>
      <w:pPr>
        <w:spacing w:after="80"/>
      </w:pPr>
    </w:p>
    <w:p>
      <w:pPr>
        <w:spacing w:after="180"/>
      </w:pPr>
      <w:r>
        <w:rPr>
          <w:rFonts w:ascii="Arial" w:cs="Arial" w:eastAsia="Arial" w:hAnsi="Arial"/>
          <w:b/>
          <w:bCs/>
          <w:color w:val="333333"/>
          <w:sz w:val="22"/>
          <w:szCs w:val="22"/>
        </w:rPr>
        <w:t xml:space="preserve">Base FMV Calculation: </w:t>
      </w:r>
      <w:r>
        <w:rPr>
          <w:rFonts w:ascii="Arial" w:cs="Arial" w:eastAsia="Arial" w:hAnsi="Arial"/>
          <w:color w:val="333333"/>
          <w:sz w:val="22"/>
          <w:szCs w:val="22"/>
        </w:rPr>
        <w:t xml:space="preserve">$742,500 × 0.50 × 0.75 × 1.00 × 1.00 × 1.05 × 1.05 = </w:t>
      </w:r>
      <w:r>
        <w:rPr>
          <w:rFonts w:ascii="Arial" w:cs="Arial" w:eastAsia="Arial" w:hAnsi="Arial"/>
          <w:b/>
          <w:bCs/>
          <w:color w:val="0077B6"/>
          <w:sz w:val="22"/>
          <w:szCs w:val="22"/>
        </w:rPr>
        <w:t xml:space="preserve">$307,000 (rounded)</w:t>
      </w:r>
    </w:p>
    <w:p>
      <w:pPr>
        <w:pBdr>
          <w:bottom w:val="single" w:color="E85D04" w:sz="3" w:space="1"/>
        </w:pBdr>
        <w:spacing w:before="200" w:after="200"/>
      </w:pPr>
    </w:p>
    <w:p>
      <w:pPr>
        <w:pStyle w:val="Heading1"/>
      </w:pPr>
      <w:r>
        <w:t xml:space="preserve">Market Comparables</w:t>
      </w:r>
    </w:p>
    <w:p>
      <w:pPr>
        <w:spacing w:after="180"/>
      </w:pPr>
      <w:r>
        <w:rPr>
          <w:rFonts w:ascii="Arial" w:cs="Arial" w:eastAsia="Arial" w:hAnsi="Arial"/>
          <w:color w:val="333333"/>
          <w:sz w:val="22"/>
          <w:szCs w:val="22"/>
        </w:rPr>
        <w:t xml:space="preserve">To validate the RCN-based valuation, Fuelled reviewed available market data from its proprietary database of over 25,000 active equipment listings across 16 sources in the WCSB and North American markets.</w:t>
      </w:r>
    </w:p>
    <w:p>
      <w:pPr>
        <w:pStyle w:val="Heading2"/>
      </w:pPr>
      <w:r>
        <w:t xml:space="preserve">Comparable Market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200"/>
        <w:gridCol w:w="1200"/>
        <w:gridCol w:w="1200"/>
        <w:gridCol w:w="1000"/>
        <w:gridCol w:w="2160"/>
      </w:tblGrid>
      <w:tr>
        <w:tc>
          <w:tcPr>
            <w:tcW w:type="dxa" w:w="26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HP</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Year</w:t>
            </w:r>
          </w:p>
        </w:tc>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Hours</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Price</w:t>
            </w:r>
          </w:p>
        </w:tc>
        <w:tc>
          <w:tcPr>
            <w:tcW w:type="dxa" w:w="21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Source</w:t>
            </w:r>
          </w:p>
        </w:tc>
      </w:tr>
      <w:tr>
        <w:tc>
          <w:tcPr>
            <w:tcW w:type="dxa" w:w="26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77B6"/>
                <w:sz w:val="20"/>
                <w:szCs w:val="20"/>
              </w:rPr>
              <w:t xml:space="preserve">[Comparable data to be inserted from database query]</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w:t>
            </w:r>
          </w:p>
        </w:tc>
        <w:tc>
          <w:tcPr>
            <w:tcW w:type="dxa" w:w="21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t>
            </w:r>
          </w:p>
        </w:tc>
      </w:tr>
    </w:tbl>
    <w:p>
      <w:pPr>
        <w:spacing w:after="80"/>
      </w:pPr>
    </w:p>
    <w:p>
      <w:pPr>
        <w:spacing w:after="180"/>
      </w:pPr>
      <w:r>
        <w:rPr>
          <w:rFonts w:ascii="Arial" w:cs="Arial" w:eastAsia="Arial" w:hAnsi="Arial"/>
          <w:b/>
          <w:bCs/>
          <w:i/>
          <w:iCs/>
          <w:color w:val="666666"/>
          <w:sz w:val="20"/>
          <w:szCs w:val="20"/>
        </w:rPr>
        <w:t xml:space="preserve">Note: </w:t>
      </w:r>
      <w:r>
        <w:rPr>
          <w:rFonts w:ascii="Arial" w:cs="Arial" w:eastAsia="Arial" w:hAnsi="Arial"/>
          <w:i/>
          <w:iCs/>
          <w:color w:val="666666"/>
          <w:sz w:val="20"/>
          <w:szCs w:val="20"/>
        </w:rPr>
        <w:t xml:space="preserve">Complete, packaged water transfer pump stations of this capacity and configuration rarely appear on the open secondary market as individual listings. When they do trade, they typically move through direct negotiation between operators or through equipment brokers. The RCN-based methodology is the primary valuation approach for this equipment class, with market comparables serving as validation rather than the sole basis.</w:t>
      </w:r>
    </w:p>
    <w:p>
      <w:pPr>
        <w:pBdr>
          <w:bottom w:val="single" w:color="E85D04" w:sz="3" w:space="1"/>
        </w:pBdr>
        <w:spacing w:before="200" w:after="200"/>
      </w:pPr>
    </w:p>
    <w:p>
      <w:pPr>
        <w:pStyle w:val="Heading1"/>
      </w:pPr>
      <w:r>
        <w:t xml:space="preserve">Unit-by-Unit Valuation</w:t>
      </w:r>
    </w:p>
    <w:p>
      <w:pPr>
        <w:spacing w:after="180"/>
      </w:pPr>
      <w:r>
        <w:rPr>
          <w:rFonts w:ascii="Arial" w:cs="Arial" w:eastAsia="Arial" w:hAnsi="Arial"/>
          <w:color w:val="333333"/>
          <w:sz w:val="22"/>
          <w:szCs w:val="22"/>
        </w:rPr>
        <w:t xml:space="preserve">Individual unit values are adjusted from the baseline FMV based on operating hours, which is the primary differentiator between otherwise identical packages.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400"/>
        <w:gridCol w:w="1400"/>
        <w:gridCol w:w="2180"/>
        <w:gridCol w:w="2180"/>
        <w:gridCol w:w="1000"/>
      </w:tblGrid>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Hours</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Hours Adj.</w:t>
            </w:r>
          </w:p>
        </w:tc>
        <w:tc>
          <w:tcPr>
            <w:tcW w:type="dxa" w:w="21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FMV Low</w:t>
            </w:r>
          </w:p>
        </w:tc>
        <w:tc>
          <w:tcPr>
            <w:tcW w:type="dxa" w:w="21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FMV High</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Conf.</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J1001</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5,207</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1.05x</w:t>
            </w:r>
          </w:p>
        </w:tc>
        <w:tc>
          <w:tcPr>
            <w:tcW w:type="dxa" w:w="21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$300,000</w:t>
            </w:r>
          </w:p>
        </w:tc>
        <w:tc>
          <w:tcPr>
            <w:tcW w:type="dxa" w:w="21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$320,000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J999</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8,600</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1.00x</w:t>
            </w:r>
          </w:p>
        </w:tc>
        <w:tc>
          <w:tcPr>
            <w:tcW w:type="dxa" w:w="21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$280,000</w:t>
            </w:r>
          </w:p>
        </w:tc>
        <w:tc>
          <w:tcPr>
            <w:tcW w:type="dxa" w:w="21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$300,000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High</w:t>
            </w:r>
          </w:p>
        </w:tc>
      </w:tr>
      <w:tr>
        <w:tc>
          <w:tcPr>
            <w:tcW w:type="dxa" w:w="12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J1008</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8,785</w:t>
            </w:r>
          </w:p>
        </w:tc>
        <w:tc>
          <w:tcPr>
            <w:tcW w:type="dxa" w:w="14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1.00x</w:t>
            </w:r>
          </w:p>
        </w:tc>
        <w:tc>
          <w:tcPr>
            <w:tcW w:type="dxa" w:w="21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$275,000</w:t>
            </w:r>
          </w:p>
        </w:tc>
        <w:tc>
          <w:tcPr>
            <w:tcW w:type="dxa" w:w="21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$295,000</w:t>
            </w:r>
          </w:p>
        </w:tc>
        <w:tc>
          <w:tcPr>
            <w:tcW w:type="dxa" w:w="1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High</w:t>
            </w:r>
          </w:p>
        </w:tc>
      </w:tr>
      <w:tr>
        <w:tc>
          <w:tcPr>
            <w:tcW w:type="dxa" w:w="12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J1002</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9,339</w:t>
            </w:r>
          </w:p>
        </w:tc>
        <w:tc>
          <w:tcPr>
            <w:tcW w:type="dxa" w:w="14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F57F17"/>
                <w:sz w:val="20"/>
                <w:szCs w:val="20"/>
              </w:rPr>
              <w:t xml:space="preserve">0.98x</w:t>
            </w:r>
          </w:p>
        </w:tc>
        <w:tc>
          <w:tcPr>
            <w:tcW w:type="dxa" w:w="21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$270,000</w:t>
            </w:r>
          </w:p>
        </w:tc>
        <w:tc>
          <w:tcPr>
            <w:tcW w:type="dxa" w:w="218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$290,000</w:t>
            </w:r>
          </w:p>
        </w:tc>
        <w:tc>
          <w:tcPr>
            <w:tcW w:type="dxa" w:w="1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2E7D32"/>
                <w:sz w:val="20"/>
                <w:szCs w:val="20"/>
              </w:rPr>
              <w:t xml:space="preserve">High</w:t>
            </w:r>
          </w:p>
        </w:tc>
      </w:tr>
      <w:tr>
        <w:tc>
          <w:tcPr>
            <w:tcW w:type="dxa" w:w="12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r>
              <w:rPr>
                <w:rFonts w:ascii="Arial" w:cs="Arial" w:eastAsia="Arial" w:hAnsi="Arial"/>
                <w:b/>
                <w:bCs/>
                <w:color w:val="FFFFFF"/>
                <w:sz w:val="20"/>
                <w:szCs w:val="20"/>
              </w:rPr>
              <w:t xml:space="preserve">TOTAL</w:t>
            </w: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tc>
        <w:tc>
          <w:tcPr>
            <w:tcW w:type="dxa" w:w="14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tc>
        <w:tc>
          <w:tcPr>
            <w:tcW w:type="dxa" w:w="21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$1,125,000</w:t>
            </w:r>
          </w:p>
        </w:tc>
        <w:tc>
          <w:tcPr>
            <w:tcW w:type="dxa" w:w="218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pPr>
              <w:jc w:val="right"/>
            </w:pPr>
            <w:r>
              <w:rPr>
                <w:rFonts w:ascii="Arial" w:cs="Arial" w:eastAsia="Arial" w:hAnsi="Arial"/>
                <w:b/>
                <w:bCs/>
                <w:color w:val="FFFFFF"/>
                <w:sz w:val="20"/>
                <w:szCs w:val="20"/>
              </w:rPr>
              <w:t xml:space="preserve">$1,205,000</w:t>
            </w:r>
          </w:p>
        </w:tc>
        <w:tc>
          <w:tcPr>
            <w:tcW w:type="dxa" w:w="1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tcPr>
          <w:p/>
        </w:tc>
      </w:tr>
    </w:tbl>
    <w:p>
      <w:pPr>
        <w:spacing w:after="120"/>
      </w:pPr>
    </w:p>
    <w:p>
      <w:pPr>
        <w:pStyle w:val="Heading3"/>
      </w:pPr>
      <w:r>
        <w:t xml:space="preserve">Volume Pricing Consideration</w:t>
      </w:r>
    </w:p>
    <w:p>
      <w:pPr>
        <w:spacing w:after="180"/>
      </w:pPr>
      <w:r>
        <w:rPr>
          <w:rFonts w:ascii="Arial" w:cs="Arial" w:eastAsia="Arial" w:hAnsi="Arial"/>
          <w:color w:val="333333"/>
          <w:sz w:val="22"/>
          <w:szCs w:val="22"/>
        </w:rPr>
        <w:t xml:space="preserve">If ARC elects to sell all four units as a single lot, a modest volume discount of 5–10% is typical in the secondary market. Buyers acquiring multiple identical units benefit from standardized maintenance, spare parts commonality, and reduced transaction costs. A lot sale at $1,050,000–$1,150,000 would represent a competitive offering while still reflecting fair value.</w:t>
      </w:r>
    </w:p>
    <w:p>
      <w:pPr>
        <w:pStyle w:val="Heading3"/>
      </w:pPr>
      <w:r>
        <w:t xml:space="preserve">Recommended List Pricing</w:t>
      </w:r>
    </w:p>
    <w:p>
      <w:pPr>
        <w:spacing w:after="180"/>
      </w:pPr>
      <w:r>
        <w:rPr>
          <w:rFonts w:ascii="Arial" w:cs="Arial" w:eastAsia="Arial" w:hAnsi="Arial"/>
          <w:color w:val="333333"/>
          <w:sz w:val="22"/>
          <w:szCs w:val="22"/>
        </w:rPr>
        <w:t xml:space="preserve">To allow for negotiation room typical in equipment transactions, Fuelled recommends listing the packages at a 10–15% premium to the midpoint FMV. This accounts for the standard negotiation dynamic where buyers expect to achieve a discount from asking price.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2000"/>
        <w:gridCol w:w="1800"/>
        <w:gridCol w:w="2060"/>
        <w:gridCol w:w="2000"/>
      </w:tblGrid>
      <w:tr>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Unit</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FMV Midpoint</w:t>
            </w:r>
          </w:p>
        </w:tc>
        <w:tc>
          <w:tcPr>
            <w:tcW w:type="dxa" w:w="18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List Premium</w:t>
            </w:r>
          </w:p>
        </w:tc>
        <w:tc>
          <w:tcPr>
            <w:tcW w:type="dxa" w:w="20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Recommended List</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Walk-Away Floor</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J1001</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$310,000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20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$349,000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C62828"/>
                <w:sz w:val="20"/>
                <w:szCs w:val="20"/>
              </w:rPr>
              <w:t xml:space="preserve">$285,000</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J999</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$290,000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20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$325,000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C62828"/>
                <w:sz w:val="20"/>
                <w:szCs w:val="20"/>
              </w:rPr>
              <w:t xml:space="preserve">$265,000</w:t>
            </w:r>
          </w:p>
        </w:tc>
      </w:tr>
      <w:tr>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J1008</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$285,000</w:t>
            </w:r>
          </w:p>
        </w:tc>
        <w:tc>
          <w:tcPr>
            <w:tcW w:type="dxa" w:w="18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20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$319,000</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C62828"/>
                <w:sz w:val="20"/>
                <w:szCs w:val="20"/>
              </w:rPr>
              <w:t xml:space="preserve">$260,000</w:t>
            </w:r>
          </w:p>
        </w:tc>
      </w:tr>
      <w:tr>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J1002</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$280,000</w:t>
            </w:r>
          </w:p>
        </w:tc>
        <w:tc>
          <w:tcPr>
            <w:tcW w:type="dxa" w:w="18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center"/>
            </w:pPr>
            <w:r>
              <w:rPr>
                <w:rFonts w:ascii="Arial" w:cs="Arial" w:eastAsia="Arial" w:hAnsi="Arial"/>
                <w:b w:val="false"/>
                <w:bCs w:val="false"/>
                <w:color w:val="000000"/>
                <w:sz w:val="20"/>
                <w:szCs w:val="20"/>
              </w:rPr>
              <w:t xml:space="preserve">12%</w:t>
            </w:r>
          </w:p>
        </w:tc>
        <w:tc>
          <w:tcPr>
            <w:tcW w:type="dxa" w:w="2060"/>
            <w:tcBorders>
              <w:top w:val="single" w:color="CCCCCC" w:sz="1"/>
              <w:left w:val="single" w:color="CCCCCC" w:sz="1"/>
              <w:bottom w:val="single" w:color="CCCCCC" w:sz="1"/>
              <w:right w:val="single" w:color="CCCCCC" w:sz="1"/>
            </w:tcBorders>
            <w:shd w:fill="E8F4F8" w:val="clear"/>
            <w:tcMar>
              <w:top w:type="dxa" w:w="60"/>
              <w:left w:type="dxa" w:w="100"/>
              <w:bottom w:type="dxa" w:w="60"/>
              <w:right w:type="dxa" w:w="100"/>
            </w:tcMar>
            <w:vAlign w:val="center"/>
          </w:tcPr>
          <w:p>
            <w:pPr>
              <w:jc w:val="right"/>
            </w:pPr>
            <w:r>
              <w:rPr>
                <w:rFonts w:ascii="Arial" w:cs="Arial" w:eastAsia="Arial" w:hAnsi="Arial"/>
                <w:b/>
                <w:bCs/>
                <w:color w:val="1A1A2E"/>
                <w:sz w:val="20"/>
                <w:szCs w:val="20"/>
              </w:rPr>
              <w:t xml:space="preserve">$315,000</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C62828"/>
                <w:sz w:val="20"/>
                <w:szCs w:val="20"/>
              </w:rPr>
              <w:t xml:space="preserve">$255,000</w:t>
            </w:r>
          </w:p>
        </w:tc>
      </w:tr>
    </w:tbl>
    <w:p>
      <w:pPr>
        <w:pBdr>
          <w:bottom w:val="single" w:color="E85D04" w:sz="3" w:space="1"/>
        </w:pBdr>
        <w:spacing w:before="200" w:after="200"/>
      </w:pPr>
    </w:p>
    <w:p>
      <w:pPr>
        <w:pStyle w:val="Heading1"/>
      </w:pPr>
      <w:r>
        <w:t xml:space="preserve">Key Assumptions and Limiting Conditions</w:t>
      </w:r>
    </w:p>
    <w:p>
      <w:pPr>
        <w:pStyle w:val="ListParagraph"/>
        <w:numPr>
          <w:ilvl w:val="0"/>
          <w:numId w:val="2"/>
        </w:numPr>
        <w:spacing w:after="120"/>
      </w:pPr>
      <w:r>
        <w:rPr>
          <w:rFonts w:ascii="Arial" w:cs="Arial" w:eastAsia="Arial" w:hAnsi="Arial"/>
          <w:color w:val="333333"/>
          <w:sz w:val="22"/>
          <w:szCs w:val="22"/>
        </w:rPr>
        <w:t xml:space="preserve">Physical condition is assumed to be “B — Good” (operational, normal wear) as no independent inspection has been performed. If units have known mechanical deficiencies, the valuation should be adjusted downward. Conversely, recently overhauled units may warrant upward adjustment.</w:t>
      </w:r>
    </w:p>
    <w:p>
      <w:pPr>
        <w:pStyle w:val="ListParagraph"/>
        <w:numPr>
          <w:ilvl w:val="0"/>
          <w:numId w:val="2"/>
        </w:numPr>
        <w:spacing w:after="120"/>
      </w:pPr>
      <w:r>
        <w:rPr>
          <w:rFonts w:ascii="Arial" w:cs="Arial" w:eastAsia="Arial" w:hAnsi="Arial"/>
          <w:color w:val="333333"/>
          <w:sz w:val="22"/>
          <w:szCs w:val="22"/>
        </w:rPr>
        <w:t xml:space="preserve">Operating hours are as reported by ARC Resources and have not been independently verified.</w:t>
      </w:r>
    </w:p>
    <w:p>
      <w:pPr>
        <w:pStyle w:val="ListParagraph"/>
        <w:numPr>
          <w:ilvl w:val="0"/>
          <w:numId w:val="2"/>
        </w:numPr>
        <w:spacing w:after="120"/>
      </w:pPr>
      <w:r>
        <w:rPr>
          <w:rFonts w:ascii="Arial" w:cs="Arial" w:eastAsia="Arial" w:hAnsi="Arial"/>
          <w:color w:val="333333"/>
          <w:sz w:val="22"/>
          <w:szCs w:val="22"/>
        </w:rPr>
        <w:t xml:space="preserve">The valuation assumes each package includes all components as originally supplied: pump, motor, VFD, building, MCC section, controls, instrumentation, and piping. Missing components would reduce value.</w:t>
      </w:r>
    </w:p>
    <w:p>
      <w:pPr>
        <w:pStyle w:val="ListParagraph"/>
        <w:numPr>
          <w:ilvl w:val="0"/>
          <w:numId w:val="2"/>
        </w:numPr>
        <w:spacing w:after="120"/>
      </w:pPr>
      <w:r>
        <w:rPr>
          <w:rFonts w:ascii="Arial" w:cs="Arial" w:eastAsia="Arial" w:hAnsi="Arial"/>
          <w:color w:val="333333"/>
          <w:sz w:val="22"/>
          <w:szCs w:val="22"/>
        </w:rPr>
        <w:t xml:space="preserve">ABSA registration status and data sheet availability have not been confirmed. Registered equipment with current data sheets commands a 10% premium; equipment without documentation may require re-certification at the buyer’s expense, reducing effective value by 10–15%.</w:t>
      </w:r>
    </w:p>
    <w:p>
      <w:pPr>
        <w:pStyle w:val="ListParagraph"/>
        <w:numPr>
          <w:ilvl w:val="0"/>
          <w:numId w:val="2"/>
        </w:numPr>
        <w:spacing w:after="120"/>
      </w:pPr>
      <w:r>
        <w:rPr>
          <w:rFonts w:ascii="Arial" w:cs="Arial" w:eastAsia="Arial" w:hAnsi="Arial"/>
          <w:color w:val="333333"/>
          <w:sz w:val="22"/>
          <w:szCs w:val="22"/>
        </w:rPr>
        <w:t xml:space="preserve">Transportation and rigging costs are excluded. Each package weighs approximately 32,000 lbs and requires oversize/overweight transport permitting. Typical move costs within Alberta range from $15,000–$30,000 per unit depending on distance.</w:t>
      </w:r>
    </w:p>
    <w:p>
      <w:pPr>
        <w:pStyle w:val="ListParagraph"/>
        <w:numPr>
          <w:ilvl w:val="0"/>
          <w:numId w:val="2"/>
        </w:numPr>
        <w:spacing w:after="120"/>
      </w:pPr>
      <w:r>
        <w:rPr>
          <w:rFonts w:ascii="Arial" w:cs="Arial" w:eastAsia="Arial" w:hAnsi="Arial"/>
          <w:color w:val="333333"/>
          <w:sz w:val="22"/>
          <w:szCs w:val="22"/>
        </w:rPr>
        <w:t xml:space="preserve">The fair market value assumes a reasonable marketing period of 90–180 days. Liquidation or forced-sale values would be 20–30% lower. A longer marketing period of 6–12 months may yield higher values for the right buyer.</w:t>
      </w:r>
    </w:p>
    <w:p>
      <w:pPr>
        <w:pStyle w:val="ListParagraph"/>
        <w:numPr>
          <w:ilvl w:val="0"/>
          <w:numId w:val="2"/>
        </w:numPr>
        <w:spacing w:after="120"/>
      </w:pPr>
      <w:r>
        <w:rPr>
          <w:rFonts w:ascii="Arial" w:cs="Arial" w:eastAsia="Arial" w:hAnsi="Arial"/>
          <w:color w:val="333333"/>
          <w:sz w:val="22"/>
          <w:szCs w:val="22"/>
        </w:rPr>
        <w:t xml:space="preserve">Values are stated in Canadian dollars (CAD) and reflect Alberta market conditions. US export or international sale may warrant different pricing.</w:t>
      </w:r>
    </w:p>
    <w:p>
      <w:pPr>
        <w:pStyle w:val="ListParagraph"/>
        <w:numPr>
          <w:ilvl w:val="0"/>
          <w:numId w:val="2"/>
        </w:numPr>
        <w:spacing w:after="120"/>
      </w:pPr>
      <w:r>
        <w:rPr>
          <w:rFonts w:ascii="Arial" w:cs="Arial" w:eastAsia="Arial" w:hAnsi="Arial"/>
          <w:color w:val="333333"/>
          <w:sz w:val="22"/>
          <w:szCs w:val="22"/>
        </w:rPr>
        <w:t xml:space="preserve">The 35% escalation factor from original cost to current replacement cost is based on the OEM’s assessment and is consistent with observed cost inflation in Western Canadian fabrication since 2020.</w:t>
      </w:r>
    </w:p>
    <w:p>
      <w:pPr>
        <w:pBdr>
          <w:bottom w:val="single" w:color="E85D04" w:sz="3" w:space="1"/>
        </w:pBdr>
        <w:spacing w:before="200" w:after="200"/>
      </w:pPr>
    </w:p>
    <w:p>
      <w:pPr>
        <w:pStyle w:val="Heading1"/>
      </w:pPr>
      <w:r>
        <w:t xml:space="preserve">Market Context</w:t>
      </w:r>
    </w:p>
    <w:p>
      <w:pPr>
        <w:spacing w:after="180"/>
      </w:pPr>
      <w:r>
        <w:rPr>
          <w:rFonts w:ascii="Arial" w:cs="Arial" w:eastAsia="Arial" w:hAnsi="Arial"/>
          <w:color w:val="333333"/>
          <w:sz w:val="22"/>
          <w:szCs w:val="22"/>
        </w:rPr>
        <w:t xml:space="preserve">The Western Canadian water transfer equipment market is currently active, driven by continued Montney and Duvernay development activity. Electric pump packages are increasingly preferred over diesel alternatives due to lower operating costs, reduced emissions, and alignment with operator ESG commitments. Key market observations:</w:t>
      </w:r>
    </w:p>
    <w:p>
      <w:pPr>
        <w:pStyle w:val="ListParagraph"/>
        <w:numPr>
          <w:ilvl w:val="0"/>
          <w:numId w:val="3"/>
        </w:numPr>
        <w:spacing w:after="120"/>
      </w:pPr>
      <w:r>
        <w:rPr>
          <w:rFonts w:ascii="Arial" w:cs="Arial" w:eastAsia="Arial" w:hAnsi="Arial"/>
          <w:color w:val="333333"/>
          <w:sz w:val="22"/>
          <w:szCs w:val="22"/>
        </w:rPr>
        <w:t xml:space="preserve">Water infrastructure demand in the Montney remains strong as producers continue to develop multi-well pad programs requiring high-volume water transfer capability.</w:t>
      </w:r>
    </w:p>
    <w:p>
      <w:pPr>
        <w:pStyle w:val="ListParagraph"/>
        <w:numPr>
          <w:ilvl w:val="0"/>
          <w:numId w:val="3"/>
        </w:numPr>
        <w:spacing w:after="120"/>
      </w:pPr>
      <w:r>
        <w:rPr>
          <w:rFonts w:ascii="Arial" w:cs="Arial" w:eastAsia="Arial" w:hAnsi="Arial"/>
          <w:color w:val="333333"/>
          <w:sz w:val="22"/>
          <w:szCs w:val="22"/>
        </w:rPr>
        <w:t xml:space="preserve">Electric drive packages with VFD are the preferred configuration for operators with grid power access, which describes most of the Grande Prairie operating area.</w:t>
      </w:r>
    </w:p>
    <w:p>
      <w:pPr>
        <w:pStyle w:val="ListParagraph"/>
        <w:numPr>
          <w:ilvl w:val="0"/>
          <w:numId w:val="3"/>
        </w:numPr>
        <w:spacing w:after="120"/>
      </w:pPr>
      <w:r>
        <w:rPr>
          <w:rFonts w:ascii="Arial" w:cs="Arial" w:eastAsia="Arial" w:hAnsi="Arial"/>
          <w:color w:val="333333"/>
          <w:sz w:val="22"/>
          <w:szCs w:val="22"/>
        </w:rPr>
        <w:t xml:space="preserve">Complete packages (pump + building + MCC) sell faster than bare equipment because they reduce buyer project cost and schedule risk.</w:t>
      </w:r>
    </w:p>
    <w:p>
      <w:pPr>
        <w:pStyle w:val="ListParagraph"/>
        <w:numPr>
          <w:ilvl w:val="0"/>
          <w:numId w:val="3"/>
        </w:numPr>
        <w:spacing w:after="120"/>
      </w:pPr>
      <w:r>
        <w:rPr>
          <w:rFonts w:ascii="Arial" w:cs="Arial" w:eastAsia="Arial" w:hAnsi="Arial"/>
          <w:color w:val="333333"/>
          <w:sz w:val="22"/>
          <w:szCs w:val="22"/>
        </w:rPr>
        <w:t xml:space="preserve">The buyer pool for this equipment includes Montney/Duvernay producers, water midstream operators, and third-party water management companies.</w:t>
      </w:r>
    </w:p>
    <w:p>
      <w:pPr>
        <w:pBdr>
          <w:bottom w:val="single" w:color="E85D04" w:sz="3" w:space="1"/>
        </w:pBdr>
        <w:spacing w:before="200" w:after="200"/>
      </w:pPr>
    </w:p>
    <w:p>
      <w:pPr>
        <w:pStyle w:val="Heading1"/>
      </w:pPr>
      <w:r>
        <w:t xml:space="preserve">Disclaimer</w:t>
      </w:r>
    </w:p>
    <w:p>
      <w:pPr>
        <w:spacing w:after="180"/>
      </w:pPr>
      <w:r>
        <w:rPr>
          <w:rFonts w:ascii="Arial" w:cs="Arial" w:eastAsia="Arial" w:hAnsi="Arial"/>
          <w:color w:val="666666"/>
          <w:sz w:val="20"/>
          <w:szCs w:val="20"/>
        </w:rPr>
        <w:t xml:space="preserve">This valuation report is prepared by Fuelled Technologies Inc. for the exclusive use of ARC Resources Ltd. The fair market values stated herein represent Fuelled’s opinion based on current market conditions, available data, and the methodology described above. This report does not constitute a formal certified appraisal and should not be relied upon for insurance, financing, or regulatory purposes without additional verification. Fuelled Technologies Inc. assumes no liability for decisions made based on this report.</w:t>
      </w:r>
    </w:p>
    <w:p>
      <w:pPr>
        <w:spacing w:after="200"/>
      </w:pP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5000"/>
      </w:tblGrid>
      <w:tr>
        <w:tc>
          <w:tcPr>
            <w:tcW w:type="dxa" w:w="5000"/>
            <w:tcBorders>
              <w:top w:val="none"/>
              <w:left w:val="none"/>
              <w:bottom w:val="none"/>
              <w:right w:val="none"/>
            </w:tcBorders>
          </w:tcPr>
          <w:p>
            <w:pPr>
              <w:spacing w:after="60"/>
            </w:pPr>
            <w:r>
              <w:rPr>
                <w:rFonts w:ascii="Arial" w:cs="Arial" w:eastAsia="Arial" w:hAnsi="Arial"/>
                <w:color w:val="666666"/>
                <w:sz w:val="20"/>
                <w:szCs w:val="20"/>
              </w:rPr>
              <w:t xml:space="preserve">Prepared by:</w:t>
            </w:r>
          </w:p>
          <w:p>
            <w:pPr>
              <w:pBdr>
                <w:bottom w:val="single" w:color="000000" w:sz="1" w:space="4"/>
              </w:pBdr>
              <w:spacing w:after="60"/>
            </w:pPr>
          </w:p>
          <w:p>
            <w:pPr>
              <w:spacing w:after="40"/>
            </w:pPr>
            <w:r>
              <w:rPr>
                <w:rFonts w:ascii="Arial" w:cs="Arial" w:eastAsia="Arial" w:hAnsi="Arial"/>
                <w:b/>
                <w:bCs/>
                <w:sz w:val="22"/>
                <w:szCs w:val="22"/>
              </w:rPr>
              <w:t xml:space="preserve">Fuelled Technologies Inc.</w:t>
            </w:r>
          </w:p>
          <w:p>
            <w:pPr>
              <w:spacing w:after="40"/>
            </w:pPr>
            <w:r>
              <w:rPr>
                <w:rFonts w:ascii="Arial" w:cs="Arial" w:eastAsia="Arial" w:hAnsi="Arial"/>
                <w:sz w:val="20"/>
                <w:szCs w:val="20"/>
              </w:rPr>
              <w:t xml:space="preserve">Mark Le Dain, CRO</w:t>
            </w:r>
          </w:p>
          <w:p>
            <w:pPr>
              <w:spacing w:after="40"/>
            </w:pPr>
            <w:r>
              <w:rPr>
                <w:rFonts w:ascii="Arial" w:cs="Arial" w:eastAsia="Arial" w:hAnsi="Arial"/>
                <w:color w:val="666666"/>
                <w:sz w:val="20"/>
                <w:szCs w:val="20"/>
              </w:rPr>
              <w:t xml:space="preserve">mark.ledain@fuelled.com  |  403-999-1057</w:t>
            </w:r>
          </w:p>
          <w:p>
            <w:pPr>
              <w:spacing w:after="40"/>
            </w:pPr>
            <w:r>
              <w:rPr>
                <w:rFonts w:ascii="Arial" w:cs="Arial" w:eastAsia="Arial" w:hAnsi="Arial"/>
                <w:color w:val="0077B6"/>
                <w:sz w:val="20"/>
                <w:szCs w:val="20"/>
              </w:rPr>
              <w:t xml:space="preserve">fuelled.com</w:t>
            </w:r>
          </w:p>
        </w:tc>
      </w:tr>
    </w:tbl>
    <w:p>
      <w:pPr>
        <w:spacing w:after="200"/>
      </w:pPr>
    </w:p>
    <w:p>
      <w:r>
        <w:br w:type="page"/>
      </w:r>
    </w:p>
    <w:p>
      <w:pPr>
        <w:pStyle w:val="Heading1"/>
      </w:pPr>
      <w:r>
        <w:t xml:space="preserve">Appendix: Source Documentation</w:t>
      </w:r>
    </w:p>
    <w:p>
      <w:pPr>
        <w:pStyle w:val="Heading2"/>
      </w:pPr>
      <w:r>
        <w:t xml:space="preserve">Purchase Order References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360"/>
        <w:gridCol w:w="1500"/>
        <w:gridCol w:w="1500"/>
      </w:tblGrid>
      <w:tr>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PO Number</w:t>
            </w:r>
          </w:p>
        </w:tc>
        <w:tc>
          <w:tcPr>
            <w:tcW w:type="dxa" w:w="20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Supplier</w:t>
            </w:r>
          </w:p>
        </w:tc>
        <w:tc>
          <w:tcPr>
            <w:tcW w:type="dxa" w:w="236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1500"/>
            <w:tcBorders>
              <w:top w:val="single" w:color="CCCCCC" w:sz="1"/>
              <w:left w:val="single" w:color="CCCCCC" w:sz="1"/>
              <w:bottom w:val="single" w:color="CCCCCC" w:sz="1"/>
              <w:right w:val="single" w:color="CCCCCC" w:sz="1"/>
            </w:tcBorders>
            <w:shd w:fill="1A1A2E"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Total</w:t>
            </w:r>
          </w:p>
        </w:tc>
      </w:tr>
      <w:tr>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E19-421-PO-01 Rev 4</w:t>
            </w:r>
          </w:p>
        </w:tc>
        <w:tc>
          <w:tcPr>
            <w:tcW w:type="dxa" w:w="20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CSM Pump Packaging</w:t>
            </w:r>
          </w:p>
        </w:tc>
        <w:tc>
          <w:tcPr>
            <w:tcW w:type="dxa" w:w="236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Water Transfer Pump Packages (Qty 10) + MCC + revisions</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Dec 2019</w:t>
            </w:r>
          </w:p>
        </w:tc>
        <w:tc>
          <w:tcPr>
            <w:tcW w:type="dxa" w:w="1500"/>
            <w:tcBorders>
              <w:top w:val="single" w:color="CCCCCC" w:sz="1"/>
              <w:left w:val="single" w:color="CCCCCC" w:sz="1"/>
              <w:bottom w:val="single" w:color="CCCCCC" w:sz="1"/>
              <w:right w:val="single" w:color="CCCCCC" w:sz="1"/>
            </w:tcBorders>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$2,997,027</w:t>
            </w:r>
          </w:p>
        </w:tc>
      </w:tr>
      <w:tr>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E19-421-PO-63</w:t>
            </w:r>
          </w:p>
        </w:tc>
        <w:tc>
          <w:tcPr>
            <w:tcW w:type="dxa" w:w="20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CSM Pump Packaging</w:t>
            </w:r>
          </w:p>
        </w:tc>
        <w:tc>
          <w:tcPr>
            <w:tcW w:type="dxa" w:w="236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Water Transfer Pump Packages (Qty 2) — J1007/J1008 completion</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left"/>
            </w:pPr>
            <w:r>
              <w:rPr>
                <w:rFonts w:ascii="Arial" w:cs="Arial" w:eastAsia="Arial" w:hAnsi="Arial"/>
                <w:b w:val="false"/>
                <w:bCs w:val="false"/>
                <w:color w:val="000000"/>
                <w:sz w:val="20"/>
                <w:szCs w:val="20"/>
              </w:rPr>
              <w:t xml:space="preserve">Oct 2020</w:t>
            </w:r>
          </w:p>
        </w:tc>
        <w:tc>
          <w:tcPr>
            <w:tcW w:type="dxa" w:w="1500"/>
            <w:tcBorders>
              <w:top w:val="single" w:color="CCCCCC" w:sz="1"/>
              <w:left w:val="single" w:color="CCCCCC" w:sz="1"/>
              <w:bottom w:val="single" w:color="CCCCCC" w:sz="1"/>
              <w:right w:val="single" w:color="CCCCCC" w:sz="1"/>
            </w:tcBorders>
            <w:shd w:fill="F5F5F5" w:val="clear"/>
            <w:tcMar>
              <w:top w:type="dxa" w:w="60"/>
              <w:left w:type="dxa" w:w="100"/>
              <w:bottom w:type="dxa" w:w="60"/>
              <w:right w:type="dxa" w:w="100"/>
            </w:tcMar>
            <w:vAlign w:val="center"/>
          </w:tcPr>
          <w:p>
            <w:pPr>
              <w:jc w:val="right"/>
            </w:pPr>
            <w:r>
              <w:rPr>
                <w:rFonts w:ascii="Arial" w:cs="Arial" w:eastAsia="Arial" w:hAnsi="Arial"/>
                <w:b w:val="false"/>
                <w:bCs w:val="false"/>
                <w:color w:val="000000"/>
                <w:sz w:val="20"/>
                <w:szCs w:val="20"/>
              </w:rPr>
              <w:t xml:space="preserve">$357,584</w:t>
            </w:r>
          </w:p>
        </w:tc>
      </w:tr>
    </w:tbl>
    <w:p>
      <w:pPr>
        <w:spacing w:after="120"/>
      </w:pPr>
    </w:p>
    <w:p>
      <w:pPr>
        <w:pStyle w:val="Heading2"/>
      </w:pPr>
      <w:r>
        <w:t xml:space="preserve">Drawing Package</w:t>
      </w:r>
    </w:p>
    <w:p>
      <w:pPr>
        <w:spacing w:after="180"/>
      </w:pPr>
      <w:r>
        <w:rPr>
          <w:rFonts w:ascii="Arial" w:cs="Arial" w:eastAsia="Arial" w:hAnsi="Arial"/>
          <w:color w:val="333333"/>
          <w:sz w:val="22"/>
          <w:szCs w:val="22"/>
        </w:rPr>
        <w:t xml:space="preserve">CSM Pump Packaging Inc. drawing package J1001-1008, Issued for Construction April 6, 2020. Includes P&amp;ID, line designation table, general arrangement (plan, elevation, isometric), structural drawings, building layout, and pump unitization drawing. 11 sheets total.</w:t>
      </w:r>
    </w:p>
    <w:p>
      <w:pPr>
        <w:pStyle w:val="Heading2"/>
      </w:pPr>
      <w:r>
        <w:t xml:space="preserve">OEM Correspondence</w:t>
      </w:r>
    </w:p>
    <w:p>
      <w:pPr>
        <w:spacing w:after="180"/>
      </w:pPr>
      <w:r>
        <w:rPr>
          <w:rFonts w:ascii="Arial" w:cs="Arial" w:eastAsia="Arial" w:hAnsi="Arial"/>
          <w:color w:val="333333"/>
          <w:sz w:val="22"/>
          <w:szCs w:val="22"/>
        </w:rPr>
        <w:t xml:space="preserve">Email from Nathan Hutzul, M.E.T., CSM Pump Packaging Inc. (nathan.hutzul@csmpump.com), dated March 6, 2026, providing original cost breakdown and current replacement cost estimate.</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1" w:space="4"/>
      </w:pBdr>
    </w:pPr>
    <w:r>
      <w:rPr>
        <w:rFonts w:ascii="Arial" w:cs="Arial" w:eastAsia="Arial" w:hAnsi="Arial"/>
        <w:color w:val="666666"/>
        <w:sz w:val="16"/>
        <w:szCs w:val="16"/>
      </w:rPr>
      <w:t xml:space="preserve">Confidential  |  fuelled.com</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85D04" w:sz="2" w:space="4"/>
      </w:pBdr>
      <w:spacing w:after="0"/>
    </w:pPr>
    <w:r>
      <w:rPr>
        <w:rFonts w:ascii="Arial" w:cs="Arial" w:eastAsia="Arial" w:hAnsi="Arial"/>
        <w:color w:val="666666"/>
        <w:sz w:val="16"/>
        <w:szCs w:val="16"/>
      </w:rPr>
      <w:t xml:space="preserve">Fuelled Technologies</w:t>
    </w:r>
    <w:r>
      <w:rPr>
        <w:rFonts w:ascii="Arial" w:cs="Arial" w:eastAsia="Arial" w:hAnsi="Arial"/>
        <w:color w:val="CCCCCC"/>
        <w:sz w:val="16"/>
        <w:szCs w:val="16"/>
      </w:rPr>
      <w:t xml:space="preserve">  |  Equipment Valuation Report  |  FV-2026-0312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333333"/>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1A2E"/>
      <w:sz w:val="32"/>
      <w:szCs w:val="32"/>
    </w:rPr>
  </w:style>
  <w:style w:type="paragraph" w:styleId="Heading2">
    <w:name w:val="Heading 2"/>
    <w:basedOn w:val="Normal"/>
    <w:next w:val="Normal"/>
    <w:qFormat/>
    <w:pPr>
      <w:spacing w:before="240" w:after="120"/>
      <w:outlineLvl w:val="1"/>
    </w:pPr>
    <w:rPr>
      <w:rFonts w:ascii="Arial" w:cs="Arial" w:eastAsia="Arial" w:hAnsi="Arial"/>
      <w:b/>
      <w:bCs/>
      <w:color w:val="0077B6"/>
      <w:sz w:val="26"/>
      <w:szCs w:val="26"/>
    </w:rPr>
  </w:style>
  <w:style w:type="paragraph" w:styleId="Heading3">
    <w:name w:val="Heading 3"/>
    <w:basedOn w:val="Normal"/>
    <w:next w:val="Normal"/>
    <w:qFormat/>
    <w:pPr>
      <w:spacing w:before="180" w:after="100"/>
      <w:outlineLvl w:val="2"/>
    </w:pPr>
    <w:rPr>
      <w:rFonts w:ascii="Arial" w:cs="Arial" w:eastAsia="Arial" w:hAnsi="Arial"/>
      <w:b/>
      <w:bCs/>
      <w:color w:val="1A1A2E"/>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2026-03-09T16:59:35.895Z</dcterms:created>
  <dcterms:modified xsi:type="dcterms:W3CDTF">2026-03-09T16:59:35.896Z</dcterms:modified>
</cp:coreProperties>
</file>

<file path=docProps/custom.xml><?xml version="1.0" encoding="utf-8"?>
<Properties xmlns="http://schemas.openxmlformats.org/officeDocument/2006/custom-properties" xmlns:vt="http://schemas.openxmlformats.org/officeDocument/2006/docPropsVTypes"/>
</file>