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1628"/>
          <w:sz w:val="44"/>
          <w:szCs w:val="44"/>
        </w:rPr>
        <w:t xml:space="preserve">Bulk Pricing Confidence Rubric</w:t>
      </w:r>
    </w:p>
    <w:p>
      <w:pPr>
        <w:spacing w:after="280"/>
      </w:pPr>
      <w:r>
        <w:rPr>
          <w:color w:val="355464"/>
          <w:sz w:val="24"/>
          <w:szCs w:val="24"/>
        </w:rPr>
        <w:t xml:space="preserve">For Nova v2 Portfolio Pricing of Unpriced Inventory</w:t>
      </w:r>
    </w:p>
    <w:p>
      <w:pPr>
        <w:spacing w:after="280"/>
      </w:pPr>
      <w:r>
        <w:rPr>
          <w:b/>
          <w:bCs/>
          <w:color w:val="355464"/>
          <w:sz w:val="18"/>
          <w:szCs w:val="18"/>
        </w:rPr>
        <w:t xml:space="preserve">Prepared by: </w:t>
      </w:r>
      <w:r>
        <w:rPr>
          <w:color w:val="355464"/>
          <w:sz w:val="18"/>
          <w:szCs w:val="18"/>
        </w:rPr>
        <w:t xml:space="preserve">Curt Lynn, Arcanos AI    </w:t>
      </w:r>
      <w:r>
        <w:rPr>
          <w:b/>
          <w:bCs/>
          <w:color w:val="355464"/>
          <w:sz w:val="18"/>
          <w:szCs w:val="18"/>
        </w:rPr>
        <w:t xml:space="preserve">For review by: </w:t>
      </w:r>
      <w:r>
        <w:rPr>
          <w:color w:val="355464"/>
          <w:sz w:val="18"/>
          <w:szCs w:val="18"/>
        </w:rPr>
        <w:t xml:space="preserve">Mark Le Dain, Fuelled Energy Marketing Inc.</w:t>
      </w:r>
    </w:p>
    <w:p>
      <w:pPr>
        <w:spacing w:after="120" w:before="240"/>
      </w:pPr>
      <w:r>
        <w:rPr>
          <w:b/>
          <w:bCs/>
          <w:color w:val="001628"/>
          <w:sz w:val="32"/>
          <w:szCs w:val="32"/>
        </w:rPr>
        <w:t xml:space="preserve">Purpose</w:t>
      </w:r>
    </w:p>
    <w:p>
      <w:pPr>
        <w:spacing w:after="120"/>
      </w:pPr>
      <w:r>
        <w:t xml:space="preserve">This rubric defines how Nova v2 will assign confidence to each pricing decision when running bulk pricing across the 3,187-listing unpriced inventory. The goal is to give Fuelled clients suggested prices they can act on, while routing low-confidence items to human review before they reach a client.</w:t>
      </w:r>
    </w:p>
    <w:p>
      <w:pPr>
        <w:spacing w:after="120"/>
      </w:pPr>
      <w:r>
        <w:t xml:space="preserve">Three things determine confidence per row: which equipment category the item falls into, how many comparable listings Nova can find, and how complete the listing description is. The combination produces a HIGH, MEDIUM, or LOW confidence rating attached to every suggested price.</w:t>
      </w:r>
    </w:p>
    <w:p>
      <w:pPr>
        <w:spacing w:after="120" w:before="240"/>
      </w:pPr>
      <w:r>
        <w:rPr>
          <w:b/>
          <w:bCs/>
          <w:color w:val="001628"/>
          <w:sz w:val="32"/>
          <w:szCs w:val="32"/>
        </w:rPr>
        <w:t xml:space="preserve">Scope of the 3,187-Listing Run</w:t>
      </w:r>
    </w:p>
    <w:p>
      <w:pPr>
        <w:spacing w:after="120"/>
      </w:pPr>
      <w:r>
        <w:t xml:space="preserve">The unpriced inventory falls into three pricing tiers based on where Nova v2 currently has the strongest pricing infrastructure. Half the inventory falls into categories Nova handles well; the other half requires either a near-term scaling family build or genuine human pricing.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47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  <w:tc>
          <w:tcPr>
            <w:tcW w:type="pct" w:w="10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pct" w:w="25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Confidence Mix</w:t>
            </w:r>
          </w:p>
        </w:tc>
      </w:tr>
      <w:tr>
        <w:tc>
          <w:tcPr>
            <w:shd w:fill="E8F4F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 1 — Nova Core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Compressor Package, Pump, Separator, Tank, Storage Bullet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1,316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~70% HIGH, 25% MEDIUM, 5% LOW</w:t>
            </w:r>
          </w:p>
        </w:tc>
      </w:tr>
      <w:tr>
        <w:tc>
          <w:tcPr>
            <w:shd w:fill="FFF4E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 2 — Nova Adjacent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Line Heater, Treater, Free Water Knockout, Flare Knockout, Dehydrator, Pressure Vessel, Heat Exchanger, Air Compressor, Refrigeration Plant, Cooler, Heat Medium Package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348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~30% HIGH, 50% MEDIUM, 20% LOW</w:t>
            </w:r>
          </w:p>
        </w:tc>
      </w:tr>
      <w:tr>
        <w:tc>
          <w:tcPr>
            <w:shd w:fill="FA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Tier 3 — Long Tail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Valve, Miscellaneous, Metering Equipment, Pump Jack, Building, Flare Stack, Transformer, Pipes &amp; Fittings, Electrical, MCC, Control Panel, Power Generator, and 30+ other categories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1,523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~15% HIGH, 35% MEDIUM, 50% LOW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240"/>
      </w:pPr>
      <w:r>
        <w:rPr>
          <w:b/>
          <w:bCs/>
          <w:color w:val="001628"/>
          <w:sz w:val="32"/>
          <w:szCs w:val="32"/>
        </w:rPr>
        <w:t xml:space="preserve">Confidence Bands</w:t>
      </w:r>
    </w:p>
    <w:p>
      <w:pPr>
        <w:spacing w:after="120"/>
      </w:pPr>
      <w:r>
        <w:t xml:space="preserve">Every priced row receives one of three confidence ratings. The rating tells the client whether the price is ready to publish, ready to publish with caveats, or needs a human eye before going out.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pct" w:w="35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It Applies</w:t>
            </w:r>
          </w:p>
        </w:tc>
        <w:tc>
          <w:tcPr>
            <w:tcW w:type="pct" w:w="18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FMV Defensibility</w:t>
            </w:r>
          </w:p>
        </w:tc>
        <w:tc>
          <w:tcPr>
            <w:tcW w:type="pct" w:w="32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Client Action</w:t>
            </w:r>
          </w:p>
        </w:tc>
      </w:tr>
      <w:tr>
        <w:tc>
          <w:tcPr>
            <w:shd w:fill="C6E5B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Standard equipment configuration. 5+ comparable listings in Nova database. Description includes manufacturer, model, size, year, and at least one of: pressure rating, capacity, hours, condition.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±10%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as suggested. Use Suggested List as the listing price; FMV as walk-away floor.</w:t>
            </w:r>
          </w:p>
        </w:tc>
      </w:tr>
      <w:tr>
        <w:tc>
          <w:tcPr>
            <w:shd w:fill="FFE69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Either thin comparables (1–4 in Nova) OR thin description, but not both. Common when equipment is older, niche, or description is tag-only.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±20%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with note: client may want to add a known data point (year, hours, condition) before publishing. List 5–10% above suggested.</w:t>
            </w:r>
          </w:p>
        </w:tc>
      </w:tr>
      <w:tr>
        <w:tc>
          <w:tcPr>
            <w:shd w:fill="F4B6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Niche/specialty equipment, major process units (&gt;$1M), heavily damaged or stripped equipment, or items with no usable description. Comparables essentially absent.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±35% or wider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Hold for client confirmation OR escalate to formal Workflow A FMV report. Do not publish without human review.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240"/>
      </w:pPr>
      <w:r>
        <w:rPr>
          <w:b/>
          <w:bCs/>
          <w:color w:val="001628"/>
          <w:sz w:val="32"/>
          <w:szCs w:val="32"/>
        </w:rPr>
        <w:t xml:space="preserve">Inputs Driving Confidence</w:t>
      </w:r>
    </w:p>
    <w:p>
      <w:pPr>
        <w:spacing w:after="120"/>
      </w:pPr>
      <w:r>
        <w:rPr>
          <w:b w:val="false"/>
          <w:bCs w:val="false"/>
        </w:rPr>
        <w:t xml:space="preserve">Nova evaluates each listing against these signals before assigning confidence: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How many similar listings Nova finds in its 25,000+ row database. 5+ is HIGH; 1–4 is MEDIUM; 0 is LOW unless RCN tables can carry the call alone.</w:t>
      </w:r>
      <w:r>
        <w:t xml:space="preserve">: Comparable count.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Manufacturer, model, year, primary spec (HP/capacity/pressure), and condition. Listings with all five are HIGH-eligible. Listings with name only are capped at MEDIUM.</w:t>
      </w:r>
      <w:r>
        <w:t xml:space="preserve">: Description completeness.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253 listings (8%) have Original Price values. Where present and recent, this raises confidence. Where present but appears stale (&gt;3 years old or &gt;50% off market), it triggers a flag rather than raising confidence.</w:t>
      </w:r>
      <w:r>
        <w:t xml:space="preserve">: Original Price presence.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Listings with virtual walkthrough videos (typical for Calroc, Kelt, PwC/Longrun) are higher confidence than tag-only descriptions because condition can be partially inferred.</w:t>
      </w:r>
      <w:r>
        <w:t xml:space="preserve">: Photo walkthrough URL.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Nova tracks past pricing accuracy by supplier. Suppliers with consistent description quality get a confidence boost; suppliers with frequent rework get a cap.</w:t>
      </w:r>
      <w:r>
        <w:t xml:space="preserve">: Supplier history.</w:t>
      </w:r>
    </w:p>
    <w:p>
      <w:pPr>
        <w:spacing w:after="120" w:before="240"/>
      </w:pPr>
      <w:r>
        <w:rPr>
          <w:b/>
          <w:bCs/>
          <w:color w:val="001628"/>
          <w:sz w:val="32"/>
          <w:szCs w:val="32"/>
        </w:rPr>
        <w:t xml:space="preserve">Human Review Thresholds</w:t>
      </w:r>
    </w:p>
    <w:p>
      <w:pPr>
        <w:spacing w:after="120"/>
      </w:pPr>
      <w:r>
        <w:t xml:space="preserve">Not every pricing decision goes straight to the client. These triggers route a row through a human reviewer (initially Curt; eventually a junior analyst at Fuelled) before the price is published.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50%"/>
            <w:shd w:fill="00162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Suggested FMV &gt; $1,000,000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Auto-flag for human review before client sees number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Confidence = 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Hold from publication; route to Curt or Mark for confirmation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Description contains "robbed", "stripped", "damaged", "fire", "flooded"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Hard hold — requires inspection or seller statement before pricing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5+ identical units from same supplier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Generate per-unit + lot pricing options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Original Price exists and differs from FMV by &gt;50%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Flag for review — likely stale book value vs. current market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Category outside all 58 known categories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Manual classification required before pricing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240"/>
      </w:pPr>
      <w:r>
        <w:rPr>
          <w:b/>
          <w:bCs/>
          <w:color w:val="001628"/>
          <w:sz w:val="32"/>
          <w:szCs w:val="32"/>
        </w:rPr>
        <w:t xml:space="preserve">Output Format Per Row</w:t>
      </w:r>
    </w:p>
    <w:p>
      <w:pPr>
        <w:spacing w:after="120"/>
      </w:pPr>
      <w:r>
        <w:t xml:space="preserve">Every priced row in the bulk run delivers the following columns to Mark for client approval: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Single-point fair market value estimate.</w:t>
      </w:r>
      <w:r>
        <w:t xml:space="preserve">: Suggested FMV ($CAD).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FMV + 12% premium for negotiation room.</w:t>
      </w:r>
      <w:r>
        <w:t xml:space="preserve">: Suggested List ($CAD).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Replacement Cost New low and high, sourced from RCN reference tables or escalated PO data.</w:t>
      </w:r>
      <w:r>
        <w:t xml:space="preserve">: RCN range ($CAD).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Range of comparable used asking prices from Nova database.</w:t>
      </w:r>
      <w:r>
        <w:t xml:space="preserve">: Market Comp range ($CAD).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HIGH / MEDIUM / LOW per the rubric above.</w:t>
      </w:r>
      <w:r>
        <w:t xml:space="preserve">: Confidence.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1–2 sentence explanation citing comp count, RCN basis, and any condition flags.</w:t>
      </w:r>
      <w:r>
        <w:t xml:space="preserve">: Key Rationale.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Empty if no flag, otherwise the trigger name (e.g., "FMV&gt;$1M", "stripped equipment", "stale original price").</w:t>
      </w:r>
      <w:r>
        <w:t xml:space="preserve">: Review Flag.</w:t>
      </w:r>
    </w:p>
    <w:p>
      <w:pPr>
        <w:spacing w:after="120" w:before="240"/>
      </w:pPr>
      <w:r>
        <w:rPr>
          <w:b/>
          <w:bCs/>
          <w:color w:val="001628"/>
          <w:sz w:val="32"/>
          <w:szCs w:val="32"/>
        </w:rPr>
        <w:t xml:space="preserve">Phased Approach</w:t>
      </w:r>
    </w:p>
    <w:p>
      <w:pPr>
        <w:spacing w:after="120"/>
      </w:pPr>
      <w:r>
        <w:t xml:space="preserve">Running 3,187 rows in one shot risks burying client-facing errors in volume. A three-phase approach lets us validate the rubric on the strongest segment first, then expand.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Run a stratified sample of Tier 1 listings. Mark and Curt review every row before any client sees it. Tune the rubric based on what trips up.</w:t>
      </w:r>
      <w:r>
        <w:t xml:space="preserve">: Phase 1: Tier 1 calibration sample (50–100 rows).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Run the rest of Tier 1. Mark spot-checks 10% before client release. HIGH confidence rows can go to clients in batches; MEDIUM and LOW route through review.</w:t>
      </w:r>
      <w:r>
        <w:t xml:space="preserve">: Phase 2: Full Tier 1 (1,316 rows).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Tier 2 follows the same flow as Tier 1 with tighter review thresholds. Tier 3 items flagged for formal Workflow A reports are routed separately; remaining Tier 3 items get best-effort pricing with LOW confidence default.</w:t>
      </w:r>
      <w:r>
        <w:t xml:space="preserve">: Phase 3: Tier 2 + selective Tier 3 (~1,800 rows).</w:t>
      </w:r>
    </w:p>
    <w:p>
      <w:pPr>
        <w:spacing w:after="120" w:before="240"/>
      </w:pPr>
      <w:r>
        <w:rPr>
          <w:b/>
          <w:bCs/>
          <w:color w:val="001628"/>
          <w:sz w:val="32"/>
          <w:szCs w:val="32"/>
        </w:rPr>
        <w:t xml:space="preserve">Notes</w:t>
      </w:r>
    </w:p>
    <w:p>
      <w:pPr>
        <w:spacing w:after="120"/>
      </w:pPr>
      <w:r>
        <w:rPr>
          <w:i/>
          <w:iCs/>
        </w:rPr>
        <w:t xml:space="preserve">All FMV figures are Fuelled's opinion of fair market value, not certified appraisals. The disclaimer used in formal Workflow A reports applies equally to bulk pricing output.</w:t>
      </w:r>
    </w:p>
    <w:p>
      <w:pPr>
        <w:spacing w:after="120"/>
      </w:pPr>
      <w:r>
        <w:rPr>
          <w:i/>
          <w:iCs/>
        </w:rPr>
        <w:t xml:space="preserve">Asking prices in market comparables are typically 80–90% of transaction prices. FMV figures account for this and represent expected transaction value, not asking-price midpoints.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55464"/>
        <w:sz w:val="16"/>
        <w:szCs w:val="16"/>
      </w:rPr>
      <w:t xml:space="preserve">Arcanos AI · </w:t>
    </w:r>
    <w:r>
      <w:rPr>
        <w:color w:val="355464"/>
        <w:sz w:val="16"/>
        <w:szCs w:val="16"/>
      </w:rPr>
      <w:t xml:space="preserve">Page </w:t>
    </w:r>
    <w:r>
      <w:rPr>
        <w:color w:val="3554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55464"/>
        <w:sz w:val="18"/>
        <w:szCs w:val="18"/>
      </w:rPr>
      <w:t xml:space="preserve">Fuelled · Bulk Pricing Confidence Rubric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Bulk Pricing Confidence Rubric</dc:title>
  <dc:creator>Arcanos AI</dc:creator>
  <cp:lastModifiedBy>Un-named</cp:lastModifiedBy>
  <cp:revision>1</cp:revision>
  <dcterms:created xsi:type="dcterms:W3CDTF">2026-04-22T13:11:29.137Z</dcterms:created>
  <dcterms:modified xsi:type="dcterms:W3CDTF">2026-04-22T13:11:29.138Z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