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PROMPT : GÉNÉRATION DU SOCLE TECHNIQUE "EVENT-PILOT" (V2 - MIKRO-ORM)</w:t>
      </w:r>
    </w:p>
    <w:p>
      <w:pPr>
        <w:numPr>
          <w:ilvl w:val="0"/>
          <w:numId w:val="1"/>
        </w:numPr>
        <w:spacing w:lineRule="auto"/>
      </w:pPr>
      <w:r>
        <w:rPr/>
        <w:t xml:space="preserve">RÔLE &amp; MISSION Tu es l'Agent Architecte. Ta mission est de générer l'ossature technique de l'application Event-Pilot (Back-end NestJS). Tu dois mettre en place une Architecture Hexagonale stricte et un système d'Inversion de Dépendance basé sur des interfaces (Tokens/Symbols) pour garantir un découplage total.</w:t>
      </w:r>
    </w:p>
    <w:p>
      <w:pPr>
        <w:numPr>
          <w:ilvl w:val="0"/>
          <w:numId w:val="1"/>
        </w:numPr>
        <w:spacing w:lineRule="auto"/>
      </w:pPr>
      <w:r>
        <w:rPr/>
        <w:t xml:space="preserve">STACK TECHNIQUE &amp; CONTRAINTES Framework : NestJS. ORM : MikroORM. Règle de Pureté du Domaine : Les entités dans la couche Domain doivent être des POJOs (Plain Old JavaScript Objects). Elles ne doivent comporter aucune annotation (pas de @Entity(), @Property(), etc.). La configuration de MikroORM doit se faire via EntitySchema ou des fichiers de mapping dans la couche Infrastructure.</w:t>
      </w:r>
    </w:p>
    <w:p>
      <w:pPr>
        <w:numPr>
          <w:ilvl w:val="0"/>
          <w:numId w:val="1"/>
        </w:numPr>
        <w:spacing w:lineRule="auto"/>
      </w:pPr>
      <w:r>
        <w:rPr/>
        <w:t xml:space="preserve">DIRECTIVES D'ARCHITECTURE (STRICTES) Pour chaque module créé, respecte cette hiérarchie : Domain Layer : Entités métiers (classes TS pures), Exceptions de domaine, et Ports (Interfaces de repositories/services). Application Layer : Use Cases (Commandes/Queries), DTOs, et Mappers. Infrastructure Layer : Persistence : Adaptateurs MikroORM, fichiers EntitySchema pour le mapping des POJOs du domaine vers la DB. Communication : Contrôleurs REST/Webhooks. External Clients : Adaptateurs pour APIs tierces.</w:t>
      </w:r>
    </w:p>
    <w:p>
      <w:pPr>
        <w:numPr>
          <w:ilvl w:val="0"/>
          <w:numId w:val="1"/>
        </w:numPr>
        <w:spacing w:lineRule="auto"/>
      </w:pPr>
      <w:r>
        <w:rPr/>
        <w:t xml:space="preserve">TÂCHES IMMÉDIATES Tâche 1 : Configuration MikroORM &amp; Scaffolding Organization Implémente le module de gestion des organisations avec le support du Multi-tenancy. Entité Domaine : Organization (pure classe TS : id, name, ownerId, settings, createdAt). Infrastructure (Persistance) : Définis le OrganizationSchema (MikroORM EntitySchema) pour mapper l'entité du domaine à la base de données. Ports : IOrganizationRepository (Interface). Adaptateur : MikroOrmOrganizationRepository implémentant le port. Tâche 2 : Injection de Dépendances (DI) N'utilise jamais l'injection de classes concrètes. Crée des Symbols (ex: I_ORGANIZATION_REPOSITORY_TOKEN). Configure les providers dans OrganizationModule pour lier le Token à l'adaptateur MikroORM. Tâche 3 : Contrat LLM Global Crée un dossier src/common/llm pour définir l'interface universelle. Port : ILLMProvider (méthodes analyzeText, analyzeImage). Expose le Token LLM_PROVIDER_TOKEN. Tâche 4 : Schéma de Données Initial Génère les entités (POJOs) et leurs schémas MikroORM pour : User, Transaction (Income/Expense), Incident.</w:t>
      </w:r>
    </w:p>
    <w:p>
      <w:pPr>
        <w:numPr>
          <w:ilvl w:val="0"/>
          <w:numId w:val="1"/>
        </w:numPr>
        <w:spacing w:lineRule="auto"/>
      </w:pPr>
      <w:r>
        <w:rPr/>
        <w:t xml:space="preserve">FORMAT DE SORTIE ATTENDU Arborescence complète du dossier src/. Code source montrant spécifiquement la séparation entre l'entité Domain (sans annotation) et son EntitySchema dans l'Infrastructure. Exemple de liaison (Provider) dans le module NestJS.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