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0" w:before="0" w:line="240" w:lineRule="auto"/>
        <w:rPr>
          <w:sz w:val="22"/>
          <w:szCs w:val="22"/>
        </w:rPr>
      </w:pPr>
      <w:bookmarkStart w:colFirst="0" w:colLast="0" w:name="_h1en6g1v2xpg" w:id="0"/>
      <w:bookmarkEnd w:id="0"/>
      <w:r w:rsidDel="00000000" w:rsidR="00000000" w:rsidRPr="00000000">
        <w:rPr>
          <w:sz w:val="22"/>
          <w:szCs w:val="22"/>
          <w:rtl w:val="0"/>
        </w:rPr>
        <w:t xml:space="preserve">Provisional title </w:t>
      </w:r>
    </w:p>
    <w:p w:rsidR="00000000" w:rsidDel="00000000" w:rsidP="00000000" w:rsidRDefault="00000000" w:rsidRPr="00000000" w14:paraId="00000002">
      <w:pPr>
        <w:rPr>
          <w:sz w:val="22"/>
          <w:szCs w:val="22"/>
        </w:rPr>
      </w:pPr>
      <w:r w:rsidDel="00000000" w:rsidR="00000000" w:rsidRPr="00000000">
        <w:rPr>
          <w:sz w:val="22"/>
          <w:szCs w:val="22"/>
          <w:rtl w:val="0"/>
        </w:rPr>
        <w:t xml:space="preserve">Ideological Contamination of Historical Perspective Taking: A Czech School Study Using an Adapted FR-LF Scale and KSA-3</w:t>
      </w:r>
    </w:p>
    <w:p w:rsidR="00000000" w:rsidDel="00000000" w:rsidP="00000000" w:rsidRDefault="00000000" w:rsidRPr="00000000" w14:paraId="00000003">
      <w:pPr>
        <w:pStyle w:val="Heading1"/>
        <w:rPr/>
      </w:pPr>
      <w:bookmarkStart w:colFirst="0" w:colLast="0" w:name="_9cnh88hzsqow" w:id="1"/>
      <w:bookmarkEnd w:id="1"/>
      <w:r w:rsidDel="00000000" w:rsidR="00000000" w:rsidRPr="00000000">
        <w:rPr>
          <w:rtl w:val="0"/>
        </w:rPr>
        <w:t xml:space="preserve">Authors and affiliations</w:t>
      </w:r>
    </w:p>
    <w:p w:rsidR="00000000" w:rsidDel="00000000" w:rsidP="00000000" w:rsidRDefault="00000000" w:rsidRPr="00000000" w14:paraId="00000004">
      <w:pPr>
        <w:rPr>
          <w:sz w:val="22"/>
          <w:szCs w:val="22"/>
        </w:rPr>
      </w:pPr>
      <w:r w:rsidDel="00000000" w:rsidR="00000000" w:rsidRPr="00000000">
        <w:rPr>
          <w:rtl w:val="0"/>
        </w:rPr>
        <w:t xml:space="preserve">Juda Kaleta (ORCiD: 0000-0003-0043-4039); (1) Charles University, Faculty of Arts, Institute of History, Czech Republic; (2) Universidad de Murcia, Doctorado en Educación, Spain. </w:t>
      </w:r>
      <w:r w:rsidDel="00000000" w:rsidR="00000000" w:rsidRPr="00000000">
        <w:rPr>
          <w:rtl w:val="0"/>
        </w:rPr>
      </w:r>
    </w:p>
    <w:p w:rsidR="00000000" w:rsidDel="00000000" w:rsidP="00000000" w:rsidRDefault="00000000" w:rsidRPr="00000000" w14:paraId="00000005">
      <w:pPr>
        <w:pStyle w:val="Heading1"/>
        <w:rPr/>
      </w:pPr>
      <w:bookmarkStart w:colFirst="0" w:colLast="0" w:name="_834ditik3a2v" w:id="2"/>
      <w:bookmarkEnd w:id="2"/>
      <w:r w:rsidDel="00000000" w:rsidR="00000000" w:rsidRPr="00000000">
        <w:rPr>
          <w:rtl w:val="0"/>
        </w:rPr>
        <w:t xml:space="preserve">Field and keywords</w:t>
      </w:r>
    </w:p>
    <w:p w:rsidR="00000000" w:rsidDel="00000000" w:rsidP="00000000" w:rsidRDefault="00000000" w:rsidRPr="00000000" w14:paraId="00000006">
      <w:pPr>
        <w:rPr>
          <w:sz w:val="22"/>
          <w:szCs w:val="22"/>
        </w:rPr>
      </w:pPr>
      <w:r w:rsidDel="00000000" w:rsidR="00000000" w:rsidRPr="00000000">
        <w:rPr>
          <w:sz w:val="22"/>
          <w:szCs w:val="22"/>
          <w:rtl w:val="0"/>
        </w:rPr>
        <w:t xml:space="preserve">Educational psychology; history education; political psychology; extremism research; Nazi attitudes; historical perspective taking; measurement validity.</w:t>
      </w:r>
    </w:p>
    <w:p w:rsidR="00000000" w:rsidDel="00000000" w:rsidP="00000000" w:rsidRDefault="00000000" w:rsidRPr="00000000" w14:paraId="00000007">
      <w:pPr>
        <w:pStyle w:val="Heading1"/>
        <w:rPr>
          <w:sz w:val="22"/>
          <w:szCs w:val="22"/>
        </w:rPr>
      </w:pPr>
      <w:bookmarkStart w:colFirst="0" w:colLast="0" w:name="_mt8j2ko6zsrz" w:id="3"/>
      <w:bookmarkEnd w:id="3"/>
      <w:r w:rsidDel="00000000" w:rsidR="00000000" w:rsidRPr="00000000">
        <w:rPr>
          <w:rtl w:val="0"/>
        </w:rPr>
        <w:t xml:space="preserve">Research question(s) and/or theory</w:t>
      </w:r>
      <w:r w:rsidDel="00000000" w:rsidR="00000000" w:rsidRPr="00000000">
        <w:rPr>
          <w:rtl w:val="0"/>
        </w:rPr>
      </w:r>
    </w:p>
    <w:p w:rsidR="00000000" w:rsidDel="00000000" w:rsidP="00000000" w:rsidRDefault="00000000" w:rsidRPr="00000000" w14:paraId="00000008">
      <w:pPr>
        <w:rPr>
          <w:sz w:val="22"/>
          <w:szCs w:val="22"/>
        </w:rPr>
      </w:pPr>
      <w:r w:rsidDel="00000000" w:rsidR="00000000" w:rsidRPr="00000000">
        <w:rPr>
          <w:rtl w:val="0"/>
        </w:rPr>
        <w:t xml:space="preserve">Historical Perspective Taking (HPT) tasks require students to interpret past actors within their historical context, yet research shows that such tasks are systematically vulnerable to presentism, i.e., the intrusion of contemporary values and beliefs into historical judgment (Hartmann &amp; Hasselhorn, 2008; Huijgen et al., 2017). Parallel work in political psychology demonstrates that authoritarian attitudes and related ideological dispositions shape how individuals explain and evaluate political and historical events (Beierlein et al., 2014; Duckitt &amp; Sibley, 2010). Moreover, studies on motivated cognition indicate that people tend to interpret information more favourably when it aligns with their own ideological worldview, allowing ideological congruence to mimic contextualised reasoning (van Boxtel &amp; van Drie, 2008; Jost et al., 2003). Together, these findings raise questions about whether students who hold pro-authoritarian or pro-Nazi-leaning attitudes may score artificially high on HPT measures not because of stronger historical-reasoning skills, but because their ideology aligns with the decisions and justifications expected of past actors in the HPT scenario.</w:t>
      </w:r>
      <w:r w:rsidDel="00000000" w:rsidR="00000000" w:rsidRPr="00000000">
        <w:rPr>
          <w:rtl w:val="0"/>
        </w:rPr>
      </w:r>
    </w:p>
    <w:p w:rsidR="00000000" w:rsidDel="00000000" w:rsidP="00000000" w:rsidRDefault="00000000" w:rsidRPr="00000000" w14:paraId="00000009">
      <w:pPr>
        <w:pStyle w:val="Heading1"/>
        <w:rPr>
          <w:sz w:val="22"/>
          <w:szCs w:val="22"/>
        </w:rPr>
      </w:pPr>
      <w:bookmarkStart w:colFirst="0" w:colLast="0" w:name="_opxs9gxz25ai" w:id="4"/>
      <w:bookmarkEnd w:id="4"/>
      <w:r w:rsidDel="00000000" w:rsidR="00000000" w:rsidRPr="00000000">
        <w:rPr>
          <w:rtl w:val="0"/>
        </w:rPr>
        <w:t xml:space="preserve">Hypotheses (where applicable)</w:t>
      </w:r>
      <w:r w:rsidDel="00000000" w:rsidR="00000000" w:rsidRPr="00000000">
        <w:rPr>
          <w:rtl w:val="0"/>
        </w:rPr>
      </w:r>
    </w:p>
    <w:p w:rsidR="00000000" w:rsidDel="00000000" w:rsidP="00000000" w:rsidRDefault="00000000" w:rsidRPr="00000000" w14:paraId="0000000A">
      <w:pPr>
        <w:numPr>
          <w:ilvl w:val="0"/>
          <w:numId w:val="1"/>
        </w:numPr>
        <w:spacing w:after="0" w:afterAutospacing="0"/>
        <w:ind w:left="720" w:hanging="360"/>
        <w:rPr>
          <w:sz w:val="22"/>
          <w:szCs w:val="22"/>
          <w:u w:val="none"/>
        </w:rPr>
      </w:pPr>
      <w:r w:rsidDel="00000000" w:rsidR="00000000" w:rsidRPr="00000000">
        <w:rPr>
          <w:sz w:val="22"/>
          <w:szCs w:val="22"/>
          <w:rtl w:val="0"/>
        </w:rPr>
        <w:t xml:space="preserve">H1: Students with stronger authoritarian and pro-Nazi-leaning attitudes will obtain artificially elevated scores on the original HPT instrument.</w:t>
      </w:r>
    </w:p>
    <w:p w:rsidR="00000000" w:rsidDel="00000000" w:rsidP="00000000" w:rsidRDefault="00000000" w:rsidRPr="00000000" w14:paraId="0000000B">
      <w:pPr>
        <w:numPr>
          <w:ilvl w:val="0"/>
          <w:numId w:val="1"/>
        </w:numPr>
        <w:ind w:left="720" w:hanging="360"/>
        <w:rPr>
          <w:sz w:val="22"/>
          <w:szCs w:val="22"/>
          <w:u w:val="none"/>
        </w:rPr>
      </w:pPr>
      <w:r w:rsidDel="00000000" w:rsidR="00000000" w:rsidRPr="00000000">
        <w:rPr>
          <w:sz w:val="22"/>
          <w:szCs w:val="22"/>
          <w:rtl w:val="0"/>
        </w:rPr>
        <w:t xml:space="preserve">H2: This effect will remain after controlling for prior historical knowledge and social desirability.</w:t>
      </w:r>
    </w:p>
    <w:p w:rsidR="00000000" w:rsidDel="00000000" w:rsidP="00000000" w:rsidRDefault="00000000" w:rsidRPr="00000000" w14:paraId="0000000C">
      <w:pPr>
        <w:pStyle w:val="Heading1"/>
        <w:rPr>
          <w:sz w:val="22"/>
          <w:szCs w:val="22"/>
        </w:rPr>
      </w:pPr>
      <w:bookmarkStart w:colFirst="0" w:colLast="0" w:name="_1oxi53yrvxoc" w:id="5"/>
      <w:bookmarkEnd w:id="5"/>
      <w:r w:rsidDel="00000000" w:rsidR="00000000" w:rsidRPr="00000000">
        <w:rPr>
          <w:rtl w:val="0"/>
        </w:rPr>
        <w:t xml:space="preserve">Study design and methods</w:t>
      </w: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rFonts w:ascii="Gungsuh" w:cs="Gungsuh" w:eastAsia="Gungsuh" w:hAnsi="Gungsuh"/>
          <w:sz w:val="22"/>
          <w:szCs w:val="22"/>
          <w:rtl w:val="0"/>
        </w:rPr>
        <w:t xml:space="preserve">Participants will be Czech lower- and upper-secondary students (N ≈ </w:t>
      </w:r>
      <w:r w:rsidDel="00000000" w:rsidR="00000000" w:rsidRPr="00000000">
        <w:rPr>
          <w:rtl w:val="0"/>
        </w:rPr>
        <w:t xml:space="preserve">3</w:t>
      </w:r>
      <w:r w:rsidDel="00000000" w:rsidR="00000000" w:rsidRPr="00000000">
        <w:rPr>
          <w:sz w:val="22"/>
          <w:szCs w:val="22"/>
          <w:rtl w:val="0"/>
        </w:rPr>
        <w:t xml:space="preserve">00–</w:t>
      </w:r>
      <w:r w:rsidDel="00000000" w:rsidR="00000000" w:rsidRPr="00000000">
        <w:rPr>
          <w:rtl w:val="0"/>
        </w:rPr>
        <w:t xml:space="preserve">4</w:t>
      </w:r>
      <w:r w:rsidDel="00000000" w:rsidR="00000000" w:rsidRPr="00000000">
        <w:rPr>
          <w:sz w:val="22"/>
          <w:szCs w:val="22"/>
          <w:rtl w:val="0"/>
        </w:rPr>
        <w:t xml:space="preserve">00) recruited through ~</w:t>
      </w:r>
      <w:r w:rsidDel="00000000" w:rsidR="00000000" w:rsidRPr="00000000">
        <w:rPr>
          <w:rtl w:val="0"/>
        </w:rPr>
        <w:t xml:space="preserve">1</w:t>
      </w:r>
      <w:r w:rsidDel="00000000" w:rsidR="00000000" w:rsidRPr="00000000">
        <w:rPr>
          <w:sz w:val="22"/>
          <w:szCs w:val="22"/>
          <w:rtl w:val="0"/>
        </w:rPr>
        <w:t xml:space="preserve">0 cooperating teachers.</w:t>
      </w:r>
      <w:r w:rsidDel="00000000" w:rsidR="00000000" w:rsidRPr="00000000">
        <w:rPr>
          <w:rtl w:val="0"/>
        </w:rPr>
        <w:t xml:space="preserve"> We</w:t>
      </w:r>
      <w:r w:rsidDel="00000000" w:rsidR="00000000" w:rsidRPr="00000000">
        <w:rPr>
          <w:sz w:val="22"/>
          <w:szCs w:val="22"/>
          <w:rtl w:val="0"/>
        </w:rPr>
        <w:t xml:space="preserve"> will administer (a) </w:t>
      </w:r>
      <w:r w:rsidDel="00000000" w:rsidR="00000000" w:rsidRPr="00000000">
        <w:rPr>
          <w:rtl w:val="0"/>
        </w:rPr>
        <w:t xml:space="preserve">a </w:t>
      </w:r>
      <w:r w:rsidDel="00000000" w:rsidR="00000000" w:rsidRPr="00000000">
        <w:rPr>
          <w:sz w:val="22"/>
          <w:szCs w:val="22"/>
          <w:rtl w:val="0"/>
        </w:rPr>
        <w:t xml:space="preserve">prior knowledge mini-test (</w:t>
      </w:r>
      <w:r w:rsidDel="00000000" w:rsidR="00000000" w:rsidRPr="00000000">
        <w:rPr>
          <w:rtl w:val="0"/>
        </w:rPr>
        <w:t xml:space="preserve">10</w:t>
      </w:r>
      <w:r w:rsidDel="00000000" w:rsidR="00000000" w:rsidRPr="00000000">
        <w:rPr>
          <w:sz w:val="22"/>
          <w:szCs w:val="22"/>
          <w:rtl w:val="0"/>
        </w:rPr>
        <w:t xml:space="preserve"> items), (b) </w:t>
      </w:r>
      <w:r w:rsidDel="00000000" w:rsidR="00000000" w:rsidRPr="00000000">
        <w:rPr>
          <w:rtl w:val="0"/>
        </w:rPr>
        <w:t xml:space="preserve">the Czech translation of </w:t>
      </w:r>
      <w:r w:rsidDel="00000000" w:rsidR="00000000" w:rsidRPr="00000000">
        <w:rPr>
          <w:sz w:val="22"/>
          <w:szCs w:val="22"/>
          <w:rtl w:val="0"/>
        </w:rPr>
        <w:t xml:space="preserve">Hartmann &amp; </w:t>
      </w:r>
      <w:r w:rsidDel="00000000" w:rsidR="00000000" w:rsidRPr="00000000">
        <w:rPr>
          <w:rtl w:val="0"/>
        </w:rPr>
        <w:t xml:space="preserve">Hasselhorn's</w:t>
      </w:r>
      <w:r w:rsidDel="00000000" w:rsidR="00000000" w:rsidRPr="00000000">
        <w:rPr>
          <w:sz w:val="22"/>
          <w:szCs w:val="22"/>
          <w:rtl w:val="0"/>
        </w:rPr>
        <w:t xml:space="preserve"> HPT instrument, and (c) an adapted ideological-attitude battery composed of FR-LF-mini (6 items: RD1–3 + NS1–3)</w:t>
      </w:r>
      <w:r w:rsidDel="00000000" w:rsidR="00000000" w:rsidRPr="00000000">
        <w:rPr>
          <w:rtl w:val="0"/>
        </w:rPr>
        <w:t xml:space="preserve">, </w:t>
      </w:r>
      <w:r w:rsidDel="00000000" w:rsidR="00000000" w:rsidRPr="00000000">
        <w:rPr>
          <w:sz w:val="22"/>
          <w:szCs w:val="22"/>
          <w:rtl w:val="0"/>
        </w:rPr>
        <w:t xml:space="preserve">KSA-3 (9 items), and SDR-5</w:t>
      </w:r>
      <w:r w:rsidDel="00000000" w:rsidR="00000000" w:rsidRPr="00000000">
        <w:rPr>
          <w:rtl w:val="0"/>
        </w:rPr>
        <w:t xml:space="preserve"> (social desirability short scale)</w:t>
      </w:r>
      <w:r w:rsidDel="00000000" w:rsidR="00000000" w:rsidRPr="00000000">
        <w:rPr>
          <w:sz w:val="22"/>
          <w:szCs w:val="22"/>
          <w:rtl w:val="0"/>
        </w:rPr>
        <w:t xml:space="preserve">. All responses will be anonymous. Data will be clustered by class. A subset of students may complete a redesigned HPT instrument in a later phase.</w:t>
      </w:r>
    </w:p>
    <w:p w:rsidR="00000000" w:rsidDel="00000000" w:rsidP="00000000" w:rsidRDefault="00000000" w:rsidRPr="00000000" w14:paraId="0000000E">
      <w:pPr>
        <w:pStyle w:val="Heading1"/>
        <w:rPr/>
      </w:pPr>
      <w:bookmarkStart w:colFirst="0" w:colLast="0" w:name="_gi84bqozmxf2" w:id="6"/>
      <w:bookmarkEnd w:id="6"/>
      <w:r w:rsidDel="00000000" w:rsidR="00000000" w:rsidRPr="00000000">
        <w:rPr>
          <w:rtl w:val="0"/>
        </w:rPr>
        <w:t xml:space="preserve">Key analyses that will test the hypotheses and/or answer the research question(s)</w:t>
      </w:r>
    </w:p>
    <w:p w:rsidR="00000000" w:rsidDel="00000000" w:rsidP="00000000" w:rsidRDefault="00000000" w:rsidRPr="00000000" w14:paraId="0000000F">
      <w:pPr>
        <w:rPr>
          <w:sz w:val="22"/>
          <w:szCs w:val="22"/>
        </w:rPr>
      </w:pPr>
      <w:r w:rsidDel="00000000" w:rsidR="00000000" w:rsidRPr="00000000">
        <w:rPr>
          <w:sz w:val="22"/>
          <w:szCs w:val="22"/>
          <w:rtl w:val="0"/>
        </w:rPr>
        <w:t xml:space="preserve">Multilevel regression models (students nested in classes) will test whether ideological attitudes (FR-LF-mini scores, KSA-3 scores) predict HPT total, CONT, and POP subscores, controlling for prior knowledge and social desirability. Differential item functioning (DIF) and multi-group CFA will test </w:t>
      </w:r>
      <w:r w:rsidDel="00000000" w:rsidR="00000000" w:rsidRPr="00000000">
        <w:rPr>
          <w:rtl w:val="0"/>
        </w:rPr>
        <w:t xml:space="preserve">for measurement bias in HPT across low- and </w:t>
      </w:r>
      <w:r w:rsidDel="00000000" w:rsidR="00000000" w:rsidRPr="00000000">
        <w:rPr>
          <w:sz w:val="22"/>
          <w:szCs w:val="22"/>
          <w:rtl w:val="0"/>
        </w:rPr>
        <w:t xml:space="preserve">high-ideology groups. </w:t>
      </w:r>
    </w:p>
    <w:p w:rsidR="00000000" w:rsidDel="00000000" w:rsidP="00000000" w:rsidRDefault="00000000" w:rsidRPr="00000000" w14:paraId="00000010">
      <w:pPr>
        <w:pStyle w:val="Heading1"/>
        <w:rPr>
          <w:sz w:val="22"/>
          <w:szCs w:val="22"/>
        </w:rPr>
      </w:pPr>
      <w:bookmarkStart w:colFirst="0" w:colLast="0" w:name="_ymuz5cis0wzx" w:id="7"/>
      <w:bookmarkEnd w:id="7"/>
      <w:r w:rsidDel="00000000" w:rsidR="00000000" w:rsidRPr="00000000">
        <w:rPr>
          <w:rtl w:val="0"/>
        </w:rPr>
        <w:t xml:space="preserve">Conclusions that will be drawn given different results</w:t>
      </w:r>
      <w:r w:rsidDel="00000000" w:rsidR="00000000" w:rsidRPr="00000000">
        <w:rPr>
          <w:rtl w:val="0"/>
        </w:rPr>
      </w:r>
    </w:p>
    <w:p w:rsidR="00000000" w:rsidDel="00000000" w:rsidP="00000000" w:rsidRDefault="00000000" w:rsidRPr="00000000" w14:paraId="00000011">
      <w:pPr>
        <w:rPr/>
      </w:pPr>
      <w:r w:rsidDel="00000000" w:rsidR="00000000" w:rsidRPr="00000000">
        <w:rPr>
          <w:sz w:val="22"/>
          <w:szCs w:val="22"/>
          <w:rtl w:val="0"/>
        </w:rPr>
        <w:t xml:space="preserve">If ideological attitudes significantly predict higher HPT contextualization scores, this confirms contamination and suggests that the current HPT instrument conflates historical reasoning with ideological affinity. If no contamination is found, this supports the validity of HPT in Czech schools. </w:t>
      </w:r>
      <w:r w:rsidDel="00000000" w:rsidR="00000000" w:rsidRPr="00000000">
        <w:rPr>
          <w:rtl w:val="0"/>
        </w:rPr>
      </w:r>
    </w:p>
    <w:p w:rsidR="00000000" w:rsidDel="00000000" w:rsidP="00000000" w:rsidRDefault="00000000" w:rsidRPr="00000000" w14:paraId="00000012">
      <w:pPr>
        <w:pStyle w:val="Heading1"/>
        <w:rPr/>
      </w:pPr>
      <w:bookmarkStart w:colFirst="0" w:colLast="0" w:name="_k7mpufn13zp1" w:id="8"/>
      <w:bookmarkEnd w:id="8"/>
      <w:r w:rsidDel="00000000" w:rsidR="00000000" w:rsidRPr="00000000">
        <w:rPr>
          <w:rtl w:val="0"/>
        </w:rPr>
        <w:t xml:space="preserve">Key references</w:t>
      </w:r>
    </w:p>
    <w:p w:rsidR="00000000" w:rsidDel="00000000" w:rsidP="00000000" w:rsidRDefault="00000000" w:rsidRPr="00000000" w14:paraId="00000013">
      <w:pPr>
        <w:numPr>
          <w:ilvl w:val="0"/>
          <w:numId w:val="2"/>
        </w:numPr>
        <w:spacing w:after="0" w:afterAutospacing="0"/>
        <w:ind w:left="720" w:hanging="360"/>
        <w:rPr>
          <w:sz w:val="22"/>
          <w:szCs w:val="22"/>
          <w:u w:val="none"/>
        </w:rPr>
      </w:pPr>
      <w:r w:rsidDel="00000000" w:rsidR="00000000" w:rsidRPr="00000000">
        <w:rPr>
          <w:sz w:val="22"/>
          <w:szCs w:val="22"/>
          <w:rtl w:val="0"/>
        </w:rPr>
        <w:t xml:space="preserve">Hartmann &amp; Hasselhorn (2008), </w:t>
      </w:r>
      <w:hyperlink r:id="rId6">
        <w:r w:rsidDel="00000000" w:rsidR="00000000" w:rsidRPr="00000000">
          <w:rPr>
            <w:color w:val="1155cc"/>
            <w:u w:val="single"/>
            <w:rtl w:val="0"/>
          </w:rPr>
          <w:t xml:space="preserve">http://dx.doi.org/10.1016/j.lindif.2007.10.002</w:t>
        </w:r>
      </w:hyperlink>
      <w:r w:rsidDel="00000000" w:rsidR="00000000" w:rsidRPr="00000000">
        <w:rPr>
          <w:rtl w:val="0"/>
        </w:rPr>
        <w:t xml:space="preserve"> </w:t>
      </w:r>
      <w:r w:rsidDel="00000000" w:rsidR="00000000" w:rsidRPr="00000000">
        <w:rPr>
          <w:sz w:val="22"/>
          <w:szCs w:val="22"/>
          <w:rtl w:val="0"/>
        </w:rPr>
        <w:t xml:space="preserve"> </w:t>
      </w:r>
    </w:p>
    <w:p w:rsidR="00000000" w:rsidDel="00000000" w:rsidP="00000000" w:rsidRDefault="00000000" w:rsidRPr="00000000" w14:paraId="00000014">
      <w:pPr>
        <w:numPr>
          <w:ilvl w:val="0"/>
          <w:numId w:val="2"/>
        </w:numPr>
        <w:spacing w:after="0" w:afterAutospacing="0"/>
        <w:ind w:left="720" w:hanging="360"/>
        <w:rPr>
          <w:sz w:val="22"/>
          <w:szCs w:val="22"/>
          <w:u w:val="none"/>
        </w:rPr>
      </w:pPr>
      <w:r w:rsidDel="00000000" w:rsidR="00000000" w:rsidRPr="00000000">
        <w:rPr>
          <w:sz w:val="22"/>
          <w:szCs w:val="22"/>
          <w:rtl w:val="0"/>
        </w:rPr>
        <w:t xml:space="preserve">Huijgen et al. (2017), </w:t>
      </w:r>
      <w:hyperlink r:id="rId7">
        <w:r w:rsidDel="00000000" w:rsidR="00000000" w:rsidRPr="00000000">
          <w:rPr>
            <w:color w:val="1155cc"/>
            <w:u w:val="single"/>
            <w:rtl w:val="0"/>
          </w:rPr>
          <w:t xml:space="preserve">https://doi.org/10.1080/00933104.2016.1208597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numPr>
          <w:ilvl w:val="0"/>
          <w:numId w:val="2"/>
        </w:numPr>
        <w:spacing w:after="0" w:afterAutospacing="0"/>
        <w:ind w:left="720" w:hanging="360"/>
        <w:rPr>
          <w:sz w:val="22"/>
          <w:szCs w:val="22"/>
          <w:u w:val="none"/>
        </w:rPr>
      </w:pPr>
      <w:r w:rsidDel="00000000" w:rsidR="00000000" w:rsidRPr="00000000">
        <w:rPr>
          <w:sz w:val="22"/>
          <w:szCs w:val="22"/>
          <w:rtl w:val="0"/>
        </w:rPr>
        <w:t xml:space="preserve">Beierlein et al. (2014), </w:t>
      </w:r>
      <w:hyperlink r:id="rId8">
        <w:r w:rsidDel="00000000" w:rsidR="00000000" w:rsidRPr="00000000">
          <w:rPr>
            <w:color w:val="1155cc"/>
            <w:u w:val="single"/>
            <w:rtl w:val="0"/>
          </w:rPr>
          <w:t xml:space="preserve">https://nbn-resolving.org/urn:nbn:de:0168-ssoar-426711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numPr>
          <w:ilvl w:val="0"/>
          <w:numId w:val="2"/>
        </w:numPr>
        <w:ind w:left="720" w:hanging="360"/>
        <w:rPr>
          <w:sz w:val="22"/>
          <w:szCs w:val="22"/>
          <w:u w:val="none"/>
        </w:rPr>
      </w:pPr>
      <w:r w:rsidDel="00000000" w:rsidR="00000000" w:rsidRPr="00000000">
        <w:rPr>
          <w:sz w:val="22"/>
          <w:szCs w:val="22"/>
          <w:rtl w:val="0"/>
        </w:rPr>
        <w:t xml:space="preserve">Nießen et al. (2019), </w:t>
      </w:r>
      <w:hyperlink r:id="rId9">
        <w:r w:rsidDel="00000000" w:rsidR="00000000" w:rsidRPr="00000000">
          <w:rPr>
            <w:color w:val="1155cc"/>
            <w:u w:val="single"/>
            <w:rtl w:val="0"/>
          </w:rPr>
          <w:t xml:space="preserve">https://doi.org/10.6102/zis272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7">
      <w:pPr>
        <w:rPr>
          <w:sz w:val="22"/>
          <w:szCs w:val="22"/>
        </w:rPr>
      </w:pPr>
      <w:r w:rsidDel="00000000" w:rsidR="00000000" w:rsidRPr="00000000">
        <w:rPr>
          <w:rtl w:val="0"/>
        </w:rPr>
      </w:r>
    </w:p>
    <w:sectPr>
      <w:pgSz w:h="16838" w:w="11906" w:orient="portrait"/>
      <w:pgMar w:bottom="576" w:top="576"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Exo 2">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c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pPr>
    <w:rPr>
      <w:b w:val="1"/>
      <w:bCs w:val="1"/>
    </w:rPr>
  </w:style>
  <w:style w:type="paragraph" w:styleId="Heading2">
    <w:name w:val="heading 2"/>
    <w:basedOn w:val="Normal"/>
    <w:next w:val="Normal"/>
    <w:pPr>
      <w:keepNext w:val="1"/>
      <w:keepLines w:val="1"/>
      <w:spacing w:after="120" w:before="360" w:lineRule="auto"/>
      <w:ind w:hanging="15"/>
    </w:pPr>
    <w:rPr>
      <w:b w:val="1"/>
      <w:bCs w:val="1"/>
      <w:sz w:val="28"/>
      <w:szCs w:val="28"/>
    </w:rPr>
  </w:style>
  <w:style w:type="paragraph" w:styleId="Heading3">
    <w:name w:val="heading 3"/>
    <w:basedOn w:val="Normal"/>
    <w:next w:val="Normal"/>
    <w:pPr>
      <w:keepNext w:val="1"/>
      <w:keepLines w:val="1"/>
      <w:spacing w:after="80" w:before="320" w:lineRule="auto"/>
    </w:pPr>
    <w:rPr>
      <w:b w:val="1"/>
      <w:bCs w:val="1"/>
      <w:color w:val="434343"/>
    </w:rPr>
  </w:style>
  <w:style w:type="paragraph" w:styleId="Heading4">
    <w:name w:val="heading 4"/>
    <w:basedOn w:val="Normal"/>
    <w:next w:val="Normal"/>
    <w:pPr>
      <w:keepNext w:val="1"/>
      <w:keepLines w:val="1"/>
      <w:pageBreakBefore w:val="0"/>
      <w:spacing w:after="80" w:before="480" w:lineRule="auto"/>
      <w:ind w:hanging="7.322834645669332"/>
    </w:pPr>
    <w:rPr>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00" w:before="800" w:line="300" w:lineRule="auto"/>
      <w:ind w:hanging="15"/>
    </w:pPr>
    <w:rPr>
      <w:rFonts w:ascii="Exo 2" w:cs="Exo 2" w:eastAsia="Exo 2" w:hAnsi="Exo 2"/>
      <w:sz w:val="60"/>
      <w:szCs w:val="60"/>
    </w:rPr>
  </w:style>
  <w:style w:type="paragraph" w:styleId="Subtitle">
    <w:name w:val="Subtitle"/>
    <w:basedOn w:val="Normal"/>
    <w:next w:val="Normal"/>
    <w:pPr>
      <w:keepNext w:val="1"/>
      <w:keepLines w:val="1"/>
      <w:pageBreakBefore w:val="0"/>
      <w:spacing w:after="320" w:lineRule="auto"/>
      <w:ind w:hanging="15"/>
    </w:pPr>
    <w:rPr>
      <w:rFonts w:ascii="Exo 2" w:cs="Exo 2" w:eastAsia="Exo 2" w:hAnsi="Exo 2"/>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6102/zis272" TargetMode="External"/><Relationship Id="rId5" Type="http://schemas.openxmlformats.org/officeDocument/2006/relationships/styles" Target="styles.xml"/><Relationship Id="rId6" Type="http://schemas.openxmlformats.org/officeDocument/2006/relationships/hyperlink" Target="http://dx.doi.org/10.1016/j.lindif.2007.10.002" TargetMode="External"/><Relationship Id="rId7" Type="http://schemas.openxmlformats.org/officeDocument/2006/relationships/hyperlink" Target="https://doi.org/10.1080/00933104.2016.1208597" TargetMode="External"/><Relationship Id="rId8" Type="http://schemas.openxmlformats.org/officeDocument/2006/relationships/hyperlink" Target="https://nbn-resolving.org/urn:nbn:de:0168-ssoar-4267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xo2-regular.ttf"/><Relationship Id="rId2" Type="http://schemas.openxmlformats.org/officeDocument/2006/relationships/font" Target="fonts/Exo2-bold.ttf"/><Relationship Id="rId3" Type="http://schemas.openxmlformats.org/officeDocument/2006/relationships/font" Target="fonts/Exo2-italic.ttf"/><Relationship Id="rId4" Type="http://schemas.openxmlformats.org/officeDocument/2006/relationships/font" Target="fonts/Exo2-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