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lteze6d5u8f9" w:id="0"/>
      <w:bookmarkEnd w:id="0"/>
      <w:r w:rsidDel="00000000" w:rsidR="00000000" w:rsidRPr="00000000">
        <w:rPr>
          <w:rtl w:val="0"/>
        </w:rPr>
        <w:t xml:space="preserve">Research Log</w:t>
      </w:r>
    </w:p>
    <w:p w:rsidR="00000000" w:rsidDel="00000000" w:rsidP="00000000" w:rsidRDefault="00000000" w:rsidRPr="00000000" w14:paraId="00000002">
      <w:pPr>
        <w:numPr>
          <w:ilvl w:val="0"/>
          <w:numId w:val="1"/>
        </w:numPr>
        <w:spacing w:after="0" w:afterAutospacing="0"/>
        <w:ind w:left="720" w:hanging="360"/>
        <w:rPr>
          <w:u w:val="none"/>
        </w:rPr>
      </w:pPr>
      <w:r w:rsidDel="00000000" w:rsidR="00000000" w:rsidRPr="00000000">
        <w:rPr>
          <w:rFonts w:ascii="Cardo" w:cs="Cardo" w:eastAsia="Cardo" w:hAnsi="Cardo"/>
          <w:b w:val="1"/>
          <w:bCs w:val="1"/>
          <w:rtl w:val="0"/>
        </w:rPr>
        <w:t xml:space="preserve">2025-11-24: RD  + NS ← FR-LF instrument;</w:t>
      </w:r>
      <w:r w:rsidDel="00000000" w:rsidR="00000000" w:rsidRPr="00000000">
        <w:rPr>
          <w:rtl w:val="0"/>
        </w:rPr>
        <w:t xml:space="preserve"> Due to cultural context and ethical considerations, the antisemitism items of the FR-LF scale (AS1–AS3) were omitted. In the Czech adolescent population, these items exhibit minimal variance and low relevance, thereby reducing sensitivity to detect ideological contamination in HPT responses. The study, therefore, focused on the two FR-LF subdimensions most theoretically linked to Nazi-sympathy: authoritarian dictatorship (RD) and trivialization of National Socialism (NS).”</w:t>
      </w:r>
    </w:p>
    <w:p w:rsidR="00000000" w:rsidDel="00000000" w:rsidP="00000000" w:rsidRDefault="00000000" w:rsidRPr="00000000" w14:paraId="00000003">
      <w:pPr>
        <w:numPr>
          <w:ilvl w:val="0"/>
          <w:numId w:val="1"/>
        </w:numPr>
        <w:ind w:left="720" w:hanging="360"/>
      </w:pPr>
      <w:r w:rsidDel="00000000" w:rsidR="00000000" w:rsidRPr="00000000">
        <w:rPr>
          <w:b w:val="1"/>
          <w:bCs w:val="1"/>
          <w:rtl w:val="0"/>
        </w:rPr>
        <w:t xml:space="preserve">2025-11-25: KSA-3 GESIS Beierlein et al. 2014, Nießen et al. 2019 (A+U+K); </w:t>
      </w:r>
      <w:r w:rsidDel="00000000" w:rsidR="00000000" w:rsidRPr="00000000">
        <w:rPr>
          <w:rtl w:val="0"/>
        </w:rPr>
        <w:t xml:space="preserve">The German term Führungspersonen can be literally translated as “leaders” or “figures of authority,” but in Czech, the direct equivalent, vůdci, carries strong, unintended historical connotations associated with Nazism. To avoid this semantic distortion and to preserve the neutral, non-ideological tone of the original item, the translation uses the phrase „představitelé ve vedoucích pozicích“ (“representatives in leadership positions”). This wording accurately reflects the intended meaning—individuals who hold managerial or authoritative roles—while avoiding culturally specific associations that could bias respondents or alter the psychological construct being measured.</w:t>
      </w:r>
    </w:p>
    <w:sectPr>
      <w:pgSz w:h="16838" w:w="11906"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Exo 2">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before="1200" w:lineRule="auto"/>
      <w:ind w:firstLine="0"/>
      <w:jc w:val="left"/>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120" w:before="360" w:lineRule="auto"/>
      <w:ind w:hanging="15"/>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480" w:lineRule="auto"/>
      <w:ind w:hanging="7.322834645669332"/>
    </w:pPr>
    <w:rPr>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800" w:line="300" w:lineRule="auto"/>
      <w:ind w:hanging="15"/>
    </w:pPr>
    <w:rPr>
      <w:rFonts w:ascii="Exo 2" w:cs="Exo 2" w:eastAsia="Exo 2" w:hAnsi="Exo 2"/>
      <w:sz w:val="60"/>
      <w:szCs w:val="60"/>
    </w:rPr>
  </w:style>
  <w:style w:type="paragraph" w:styleId="Subtitle">
    <w:name w:val="Subtitle"/>
    <w:basedOn w:val="Normal"/>
    <w:next w:val="Normal"/>
    <w:pPr>
      <w:keepNext w:val="1"/>
      <w:keepLines w:val="1"/>
      <w:pageBreakBefore w:val="0"/>
      <w:spacing w:after="320" w:lineRule="auto"/>
      <w:ind w:hanging="15"/>
    </w:pPr>
    <w:rPr>
      <w:rFonts w:ascii="Exo 2" w:cs="Exo 2" w:eastAsia="Exo 2" w:hAnsi="Exo 2"/>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xo2-regular.ttf"/><Relationship Id="rId5" Type="http://schemas.openxmlformats.org/officeDocument/2006/relationships/font" Target="fonts/Exo2-bold.ttf"/><Relationship Id="rId6" Type="http://schemas.openxmlformats.org/officeDocument/2006/relationships/font" Target="fonts/Exo2-italic.ttf"/><Relationship Id="rId7" Type="http://schemas.openxmlformats.org/officeDocument/2006/relationships/font" Target="fonts/Exo2-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