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after="0" w:before="0" w:lineRule="auto"/>
        <w:ind w:firstLine="425.19685039370086"/>
        <w:jc w:val="center"/>
        <w:rPr>
          <w:sz w:val="28"/>
          <w:szCs w:val="28"/>
        </w:rPr>
      </w:pPr>
      <w:bookmarkStart w:colFirst="0" w:colLast="0" w:name="_a5rn8cyp1hma" w:id="0"/>
      <w:bookmarkEnd w:id="0"/>
      <w:r w:rsidDel="00000000" w:rsidR="00000000" w:rsidRPr="00000000">
        <w:rPr>
          <w:sz w:val="28"/>
          <w:szCs w:val="28"/>
          <w:rtl w:val="0"/>
        </w:rPr>
        <w:t xml:space="preserve">HPT podle Hartmann and Hasselhorn (2008)</w:t>
      </w:r>
    </w:p>
    <w:p w:rsidR="00000000" w:rsidDel="00000000" w:rsidP="00000000" w:rsidRDefault="00000000" w:rsidRPr="00000000" w14:paraId="00000002">
      <w:pPr>
        <w:spacing w:after="0" w:lineRule="auto"/>
        <w:ind w:firstLine="425.19685039370086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Düsseldorf, Německo v roce 1930. Hannes (20 let) je syn majitele malého podniku, který vyrábí boty na zakázku. Jednoho dne se Hannes potká se svým přítelem Gerdem. Mluví spolu o situaci v Německu a o nadcházejících volbách.</w:t>
      </w:r>
    </w:p>
    <w:p w:rsidR="00000000" w:rsidDel="00000000" w:rsidP="00000000" w:rsidRDefault="00000000" w:rsidRPr="00000000" w14:paraId="00000003">
      <w:pPr>
        <w:spacing w:after="0" w:lineRule="auto"/>
        <w:ind w:firstLine="425.19685039370086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Hannes říká: „Otcova firma je na pokraji krachu. Od konce války je všechno horší a horší. Po krizi v roce 1923 jsme začali mít zase určitou naději. Ale teď je to horší než kdy dřív. Nevím, jak tohle skončí. Zatím mám práci v otcově podniku. Ale pokud ho zavře, vůbec netuším, kde si najdu práci. Vždycky jsme byli vážení lidé – a podívej se na nás teď!“</w:t>
      </w:r>
    </w:p>
    <w:p w:rsidR="00000000" w:rsidDel="00000000" w:rsidP="00000000" w:rsidRDefault="00000000" w:rsidRPr="00000000" w14:paraId="00000004">
      <w:pPr>
        <w:spacing w:after="0" w:lineRule="auto"/>
        <w:ind w:firstLine="425.19685039370086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Gerd odpoví: „Máš pravdu. Co se to stalo s naší zemí? Podívej se, co se dnes děje. Nikdo nemá práci a v ulicích propukají rvačky mezi znepřátelenými skupinami.“</w:t>
      </w:r>
    </w:p>
    <w:p w:rsidR="00000000" w:rsidDel="00000000" w:rsidP="00000000" w:rsidRDefault="00000000" w:rsidRPr="00000000" w14:paraId="00000005">
      <w:pPr>
        <w:spacing w:after="0" w:lineRule="auto"/>
        <w:ind w:firstLine="425.19685039370086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Hannes reaguje: „Otec vždycky říká, že za císařství jsme se měli lépe. Co můžeme dělat, když je naše země v krizi a vítězové války nám škodí, kde mohou? Naši politici se svou politikou ústupků nám opravdu nepomáhají. Je nejvyšší čas, aby Německo řídil někdo, kdo ví, co udělat, a skutečně převezme vedení. Při posledních volbách jsem podporoval Německou národně lidovou stranu (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konzervativní nacionalistická strana v tehdejším Německu</w:t>
      </w:r>
      <w:r w:rsidDel="00000000" w:rsidR="00000000" w:rsidRPr="00000000">
        <w:rPr>
          <w:sz w:val="22"/>
          <w:szCs w:val="22"/>
          <w:rtl w:val="0"/>
        </w:rPr>
        <w:t xml:space="preserve">), ale nevím, jestli mají ty správné lidi, kteří by naši zemi mohli zachránit.“</w:t>
      </w:r>
    </w:p>
    <w:p w:rsidR="00000000" w:rsidDel="00000000" w:rsidP="00000000" w:rsidRDefault="00000000" w:rsidRPr="00000000" w14:paraId="00000006">
      <w:pPr>
        <w:rPr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br w:type="textWrapping"/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Níže najdeš několik výroků. Nejprve si je všechny přečti. Poté se pokus vžít do Hannesova pohledu a u každého výroku označ, nakolik se hodí k jeho situaci.</w:t>
      </w:r>
    </w:p>
    <w:p w:rsidR="00000000" w:rsidDel="00000000" w:rsidP="00000000" w:rsidRDefault="00000000" w:rsidRPr="00000000" w14:paraId="00000007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Mohl se Hannes rozhodnout volit anti-demokratickou stranu, např. NSDAP?</w:t>
      </w: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5190"/>
        <w:gridCol w:w="1050"/>
        <w:gridCol w:w="1140"/>
        <w:gridCol w:w="1080"/>
        <w:gridCol w:w="1095"/>
        <w:tblGridChange w:id="0">
          <w:tblGrid>
            <w:gridCol w:w="885"/>
            <w:gridCol w:w="5190"/>
            <w:gridCol w:w="1050"/>
            <w:gridCol w:w="1140"/>
            <w:gridCol w:w="1080"/>
            <w:gridCol w:w="1095"/>
          </w:tblGrid>
        </w:tblGridChange>
      </w:tblGrid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Vůbec neodpovídá jeho situaci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Spíše neodpovídá jeho situaci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Částečně odpovídá jeho situaci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Velmi dobře odpovídá jeho situaci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Určitě nebude volit NSDAP. Nikdo nemůže schvalovat to, co tato strana udělala Německu a světu.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Uvědomí si, že jen v demokracii se lidé mohou podílet na rozhodování. Proto se rozhodne rozumně – a to neznamená volit NSDAP.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Nebude volit NSDAP. Je jednoduché prohlédnout jejich populistická hesla. Je zřejmé, že to povede k válce.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ROA1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Jako člen vyšší střední třídy by se asi rád vrátil k době císařství, kdy se jeho rodině dařilo lépe. Mohl by volit antidemokratickou stranu.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26.0595703124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ROA2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Jako syn podnikatele bude pravděpodobně volit konzervativní stranu, ale ne nutně NSDAP.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ROA3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Protože otcova firma je na pokraji krachu, mohl by volit stranu, která zastupuje zájmy malých podnikatelů.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Hannes má málo zkušeností s demokracií. Pravděpodobně neví o rizicích spojených s NSDAP, a proto je pravděpodobné, že je bude volit.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Hitler pro něj pravděpodobně představuje silného vůdce. Zřejmě nebude příliš přemýšlet o hrozbách spojených s NSDAP.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 své situaci vidí jen nevýhody demokracie. Proto je pravděpodobné, že podlehne populistickým heslům NSDAP.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br w:type="textWrapping"/>
        <w:t xml:space="preserve">Položky dotazníku jsou seřazeny podle sledované kategorie, ale v podobě zadávané žákům budou seřazeny náhodně.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Exo 2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c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0" w:before="1200" w:lineRule="auto"/>
      <w:ind w:firstLine="0"/>
      <w:jc w:val="left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hanging="15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color w:val="43434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480" w:lineRule="auto"/>
      <w:ind w:hanging="7.322834645669332"/>
    </w:pPr>
    <w:rPr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00" w:before="800" w:line="300" w:lineRule="auto"/>
      <w:ind w:hanging="15"/>
    </w:pPr>
    <w:rPr>
      <w:rFonts w:ascii="Exo 2" w:cs="Exo 2" w:eastAsia="Exo 2" w:hAnsi="Exo 2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  <w:ind w:hanging="15"/>
    </w:pPr>
    <w:rPr>
      <w:rFonts w:ascii="Exo 2" w:cs="Exo 2" w:eastAsia="Exo 2" w:hAnsi="Exo 2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xo2-regular.ttf"/><Relationship Id="rId2" Type="http://schemas.openxmlformats.org/officeDocument/2006/relationships/font" Target="fonts/Exo2-bold.ttf"/><Relationship Id="rId3" Type="http://schemas.openxmlformats.org/officeDocument/2006/relationships/font" Target="fonts/Exo2-italic.ttf"/><Relationship Id="rId4" Type="http://schemas.openxmlformats.org/officeDocument/2006/relationships/font" Target="fonts/Exo2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