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480" w:lineRule="auto"/>
      </w:pPr>
      <w:r>
        <w:rPr>
          <w:rFonts w:ascii="Times New Roman" w:hAnsi="Times New Roman"/>
        </w:rPr>
        <w:t xml:space="preserve">Cross-Cultural</w:t>
      </w:r>
      <w:r>
        <w:rPr>
          <w:rFonts w:ascii="Times New Roman" w:hAnsi="Times New Roman"/>
        </w:rPr>
        <w:t xml:space="preserve"> </w:t>
      </w:r>
      <w:r>
        <w:rPr>
          <w:rFonts w:ascii="Times New Roman" w:hAnsi="Times New Roman"/>
        </w:rPr>
        <w:t xml:space="preserve">Validation</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Ideological</w:t>
      </w:r>
      <w:r>
        <w:rPr>
          <w:rFonts w:ascii="Times New Roman" w:hAnsi="Times New Roman"/>
        </w:rPr>
        <w:t xml:space="preserve"> </w:t>
      </w:r>
      <w:r>
        <w:rPr>
          <w:rFonts w:ascii="Times New Roman" w:hAnsi="Times New Roman"/>
        </w:rPr>
        <w:t xml:space="preserve">Fairness</w:t>
      </w:r>
      <w:r>
        <w:rPr>
          <w:rFonts w:ascii="Times New Roman" w:hAnsi="Times New Roman"/>
        </w:rPr>
        <w:t xml:space="preserve"> </w:t>
      </w:r>
      <w:r>
        <w:rPr>
          <w:rFonts w:ascii="Times New Roman" w:hAnsi="Times New Roman"/>
        </w:rPr>
        <w:t xml:space="preserve">of</w:t>
      </w:r>
      <w:r>
        <w:rPr>
          <w:rFonts w:ascii="Times New Roman" w:hAnsi="Times New Roman"/>
        </w:rPr>
        <w:t xml:space="preserve"> </w:t>
      </w:r>
      <w:r>
        <w:rPr>
          <w:rFonts w:ascii="Times New Roman" w:hAnsi="Times New Roman"/>
        </w:rPr>
        <w:t xml:space="preserve">a</w:t>
      </w:r>
      <w:r>
        <w:rPr>
          <w:rFonts w:ascii="Times New Roman" w:hAnsi="Times New Roman"/>
        </w:rPr>
        <w:t xml:space="preserve"> </w:t>
      </w:r>
      <w:r>
        <w:rPr>
          <w:rFonts w:ascii="Times New Roman" w:hAnsi="Times New Roman"/>
        </w:rPr>
        <w:t xml:space="preserve">Historical</w:t>
      </w:r>
      <w:r>
        <w:rPr>
          <w:rFonts w:ascii="Times New Roman" w:hAnsi="Times New Roman"/>
        </w:rPr>
        <w:t xml:space="preserve"> </w:t>
      </w:r>
      <w:r>
        <w:rPr>
          <w:rFonts w:ascii="Times New Roman" w:hAnsi="Times New Roman"/>
        </w:rPr>
        <w:t xml:space="preserve">Perspective</w:t>
      </w:r>
      <w:r>
        <w:rPr>
          <w:rFonts w:ascii="Times New Roman" w:hAnsi="Times New Roman"/>
        </w:rPr>
        <w:t xml:space="preserve"> </w:t>
      </w:r>
      <w:r>
        <w:rPr>
          <w:rFonts w:ascii="Times New Roman" w:hAnsi="Times New Roman"/>
        </w:rPr>
        <w:t xml:space="preserve">Taking</w:t>
      </w:r>
      <w:r>
        <w:rPr>
          <w:rFonts w:ascii="Times New Roman" w:hAnsi="Times New Roman"/>
        </w:rPr>
        <w:t xml:space="preserve"> </w:t>
      </w:r>
      <w:r>
        <w:rPr>
          <w:rFonts w:ascii="Times New Roman" w:hAnsi="Times New Roman"/>
        </w:rPr>
        <w:t xml:space="preserve">Instrument:</w:t>
      </w:r>
      <w:r>
        <w:rPr>
          <w:rFonts w:ascii="Times New Roman" w:hAnsi="Times New Roman"/>
        </w:rPr>
        <w:t xml:space="preserve"> </w:t>
      </w:r>
      <w:r>
        <w:rPr>
          <w:rFonts w:ascii="Times New Roman" w:hAnsi="Times New Roman"/>
        </w:rPr>
        <w:t xml:space="preserve">Evidence</w:t>
      </w:r>
      <w:r>
        <w:rPr>
          <w:rFonts w:ascii="Times New Roman" w:hAnsi="Times New Roman"/>
        </w:rPr>
        <w:t xml:space="preserve"> </w:t>
      </w:r>
      <w:r>
        <w:rPr>
          <w:rFonts w:ascii="Times New Roman" w:hAnsi="Times New Roman"/>
        </w:rPr>
        <w:t xml:space="preserve">from</w:t>
      </w:r>
      <w:r>
        <w:rPr>
          <w:rFonts w:ascii="Times New Roman" w:hAnsi="Times New Roman"/>
        </w:rPr>
        <w:t xml:space="preserve"> </w:t>
      </w:r>
      <w:r>
        <w:rPr>
          <w:rFonts w:ascii="Times New Roman" w:hAnsi="Times New Roman"/>
        </w:rPr>
        <w:t xml:space="preserve">Czech</w:t>
      </w:r>
      <w:r>
        <w:rPr>
          <w:rFonts w:ascii="Times New Roman" w:hAnsi="Times New Roman"/>
        </w:rPr>
        <w:t xml:space="preserve"> </w:t>
      </w:r>
      <w:r>
        <w:rPr>
          <w:rFonts w:ascii="Times New Roman" w:hAnsi="Times New Roman"/>
        </w:rPr>
        <w:t xml:space="preserve">Secondary</w:t>
      </w:r>
      <w:r>
        <w:rPr>
          <w:rFonts w:ascii="Times New Roman" w:hAnsi="Times New Roman"/>
        </w:rPr>
        <w:t xml:space="preserve"> </w:t>
      </w:r>
      <w:r>
        <w:rPr>
          <w:rFonts w:ascii="Times New Roman" w:hAnsi="Times New Roman"/>
        </w:rPr>
        <w:t xml:space="preserve">Students</w:t>
      </w:r>
    </w:p>
    <w:p>
      <w:pPr>
        <w:pStyle w:val="Date"/>
        <w:spacing w:line="480" w:lineRule="auto"/>
      </w:pPr>
      <w:r>
        <w:rPr>
          <w:rFonts w:ascii="Times New Roman" w:hAnsi="Times New Roman"/>
        </w:rPr>
        <w:t xml:space="preserve">2026</w:t>
      </w:r>
    </w:p>
    <w:p>
      <w:pPr>
        <w:pStyle w:val="FirstParagraph"/>
        <w:spacing w:line="480" w:lineRule="auto"/>
      </w:pPr>
      <w:r>
        <w:rPr>
          <w:rFonts w:ascii="Times New Roman" w:hAnsi="Times New Roman"/>
        </w:rPr>
        <w:t xml:space="preserve">Running head: CROSS-CULTURAL VALIDATION AND FAIRNESS OF HPT</w:t>
      </w:r>
    </w:p>
    <w:p>
      <w:pPr>
        <w:pStyle w:val="BodyText"/>
        <w:spacing w:line="480" w:lineRule="auto"/>
      </w:pPr>
      <w:r>
        <w:rPr>
          <w:rFonts w:ascii="Times New Roman" w:hAnsi="Times New Roman"/>
        </w:rPr>
        <w:t xml:space="preserve">Word count: 5,907 (excluding abstract, tables, and references)</w:t>
      </w:r>
    </w:p>
    <w:p>
      <w:pPr>
        <w:pStyle w:val="BodyText"/>
        <w:spacing w:line="480" w:lineRule="auto"/>
      </w:pPr>
      <w:r>
        <w:rPr>
          <w:rFonts w:ascii="Times New Roman" w:hAnsi="Times New Roman"/>
        </w:rPr>
        <w:t xml:space="preserve">Submission date: April 3, 2026</w:t>
      </w:r>
    </w:p>
    <w:bookmarkStart w:id="20" w:name="abstract"/>
    <w:p>
      <w:pPr>
        <w:pStyle w:val="Heading2"/>
        <w:spacing w:line="480" w:lineRule="auto"/>
      </w:pPr>
      <w:r>
        <w:rPr>
          <w:rFonts w:ascii="Times New Roman" w:hAnsi="Times New Roman"/>
        </w:rPr>
        <w:t xml:space="preserve">Abstract</w:t>
      </w:r>
    </w:p>
    <w:p>
      <w:pPr>
        <w:pStyle w:val="FirstParagraph"/>
        <w:spacing w:line="480" w:lineRule="auto"/>
      </w:pPr>
      <w:r>
        <w:rPr>
          <w:rFonts w:ascii="Times New Roman" w:hAnsi="Times New Roman"/>
        </w:rPr>
        <w:t xml:space="preserve">This study reports the first Czech adaptation of the Hartmann and</w:t>
      </w:r>
      <w:r>
        <w:rPr>
          <w:rFonts w:ascii="Times New Roman" w:hAnsi="Times New Roman"/>
        </w:rPr>
        <w:t xml:space="preserve"> </w:t>
      </w:r>
      <w:r>
        <w:rPr>
          <w:rFonts w:ascii="Times New Roman" w:hAnsi="Times New Roman"/>
        </w:rPr>
        <w:t xml:space="preserve">Hasselhorn Historical Perspective Taking (HPT) instrument and</w:t>
      </w:r>
      <w:r>
        <w:rPr>
          <w:rFonts w:ascii="Times New Roman" w:hAnsi="Times New Roman"/>
        </w:rPr>
        <w:t xml:space="preserve"> </w:t>
      </w:r>
      <w:r>
        <w:rPr>
          <w:rFonts w:ascii="Times New Roman" w:hAnsi="Times New Roman"/>
        </w:rPr>
        <w:t xml:space="preserve">examines whether its politically charged scenario introduces</w:t>
      </w:r>
      <w:r>
        <w:rPr>
          <w:rFonts w:ascii="Times New Roman" w:hAnsi="Times New Roman"/>
        </w:rPr>
        <w:t xml:space="preserve"> </w:t>
      </w:r>
      <w:r>
        <w:rPr>
          <w:rFonts w:ascii="Times New Roman" w:hAnsi="Times New Roman"/>
        </w:rPr>
        <w:t xml:space="preserve">construct-irrelevant variance related to students’ ideological</w:t>
      </w:r>
      <w:r>
        <w:rPr>
          <w:rFonts w:ascii="Times New Roman" w:hAnsi="Times New Roman"/>
        </w:rPr>
        <w:t xml:space="preserve"> </w:t>
      </w:r>
      <w:r>
        <w:rPr>
          <w:rFonts w:ascii="Times New Roman" w:hAnsi="Times New Roman"/>
        </w:rPr>
        <w:t xml:space="preserve">attitudes. Among 293 Czech secondary students, confirmatory factor</w:t>
      </w:r>
      <w:r>
        <w:rPr>
          <w:rFonts w:ascii="Times New Roman" w:hAnsi="Times New Roman"/>
        </w:rPr>
        <w:t xml:space="preserve"> </w:t>
      </w:r>
      <w:r>
        <w:rPr>
          <w:rFonts w:ascii="Times New Roman" w:hAnsi="Times New Roman"/>
        </w:rPr>
        <w:t xml:space="preserve">analysis confirmed the three-factor structure. IRT-based</w:t>
      </w:r>
      <w:r>
        <w:rPr>
          <w:rFonts w:ascii="Times New Roman" w:hAnsi="Times New Roman"/>
        </w:rPr>
        <w:t xml:space="preserve"> </w:t>
      </w:r>
      <w:r>
        <w:rPr>
          <w:rFonts w:ascii="Times New Roman" w:hAnsi="Times New Roman"/>
        </w:rPr>
        <w:t xml:space="preserve">differential item functioning analysis detected no biased items</w:t>
      </w:r>
      <w:r>
        <w:rPr>
          <w:rFonts w:ascii="Times New Roman" w:hAnsi="Times New Roman"/>
        </w:rPr>
        <w:t xml:space="preserve"> </w:t>
      </w:r>
      <w:r>
        <w:rPr>
          <w:rFonts w:ascii="Times New Roman" w:hAnsi="Times New Roman"/>
        </w:rPr>
        <w:t xml:space="preserve">across ideology groups, and multi-group CFA demonstrated full scalar</w:t>
      </w:r>
      <w:r>
        <w:rPr>
          <w:rFonts w:ascii="Times New Roman" w:hAnsi="Times New Roman"/>
        </w:rPr>
        <w:t xml:space="preserve"> </w:t>
      </w:r>
      <w:r>
        <w:rPr>
          <w:rFonts w:ascii="Times New Roman" w:hAnsi="Times New Roman"/>
        </w:rPr>
        <w:t xml:space="preserve">measurement invariance. Historical knowledge predicted HPT scores;</w:t>
      </w:r>
      <w:r>
        <w:rPr>
          <w:rFonts w:ascii="Times New Roman" w:hAnsi="Times New Roman"/>
        </w:rPr>
        <w:t xml:space="preserve"> </w:t>
      </w:r>
      <w:r>
        <w:rPr>
          <w:rFonts w:ascii="Times New Roman" w:hAnsi="Times New Roman"/>
        </w:rPr>
        <w:t xml:space="preserve">ideology was unrelated. These findings demonstrate a transferable</w:t>
      </w:r>
      <w:r>
        <w:rPr>
          <w:rFonts w:ascii="Times New Roman" w:hAnsi="Times New Roman"/>
        </w:rPr>
        <w:t xml:space="preserve"> </w:t>
      </w:r>
      <w:r>
        <w:rPr>
          <w:rFonts w:ascii="Times New Roman" w:hAnsi="Times New Roman"/>
        </w:rPr>
        <w:t xml:space="preserve">protocol for evaluating measurement fairness when assessment content</w:t>
      </w:r>
      <w:r>
        <w:rPr>
          <w:rFonts w:ascii="Times New Roman" w:hAnsi="Times New Roman"/>
        </w:rPr>
        <w:t xml:space="preserve"> </w:t>
      </w:r>
      <w:r>
        <w:rPr>
          <w:rFonts w:ascii="Times New Roman" w:hAnsi="Times New Roman"/>
        </w:rPr>
        <w:t xml:space="preserve">carries attitudinal valence.</w:t>
      </w:r>
    </w:p>
    <w:p>
      <w:pPr>
        <w:pStyle w:val="BodyText"/>
        <w:spacing w:line="480" w:lineRule="auto"/>
      </w:pPr>
      <w:r>
        <w:rPr>
          <w:bCs/>
          <w:rFonts w:ascii="Times New Roman" w:hAnsi="Times New Roman"/>
          <w:b/>
        </w:rPr>
        <w:t xml:space="preserve">Keywords:</w:t>
      </w:r>
      <w:r>
        <w:rPr>
          <w:rFonts w:ascii="Times New Roman" w:hAnsi="Times New Roman"/>
        </w:rPr>
        <w:t xml:space="preserve"> </w:t>
      </w:r>
      <w:r>
        <w:rPr>
          <w:rFonts w:ascii="Times New Roman" w:hAnsi="Times New Roman"/>
        </w:rPr>
        <w:t xml:space="preserve">historical perspective taking, cross-cultural validation, measurement invariance, differential item functioning, construct-irrelevant variance, test fairness</w:t>
      </w:r>
    </w:p>
    <w:bookmarkEnd w:id="20"/>
    <w:bookmarkStart w:id="21" w:name="introduction"/>
    <w:p>
      <w:pPr>
        <w:pStyle w:val="Heading2"/>
        <w:spacing w:line="480" w:lineRule="auto"/>
      </w:pPr>
      <w:r>
        <w:rPr>
          <w:rFonts w:ascii="Times New Roman" w:hAnsi="Times New Roman"/>
        </w:rPr>
        <w:t xml:space="preserve">1. Introduction</w:t>
      </w:r>
    </w:p>
    <w:p>
      <w:pPr>
        <w:pStyle w:val="FirstParagraph"/>
        <w:spacing w:line="480" w:lineRule="auto"/>
      </w:pPr>
      <w:r>
        <w:rPr>
          <w:rFonts w:ascii="Times New Roman" w:hAnsi="Times New Roman"/>
        </w:rPr>
        <w:t xml:space="preserve">Cross-cultural adaptation of educational and psychological</w:t>
      </w:r>
      <w:r>
        <w:rPr>
          <w:rFonts w:ascii="Times New Roman" w:hAnsi="Times New Roman"/>
        </w:rPr>
        <w:t xml:space="preserve"> </w:t>
      </w:r>
      <w:r>
        <w:rPr>
          <w:rFonts w:ascii="Times New Roman" w:hAnsi="Times New Roman"/>
        </w:rPr>
        <w:t xml:space="preserve">instruments requires more than linguistic translation: it demands</w:t>
      </w:r>
      <w:r>
        <w:rPr>
          <w:rFonts w:ascii="Times New Roman" w:hAnsi="Times New Roman"/>
        </w:rPr>
        <w:t xml:space="preserve"> </w:t>
      </w:r>
      <w:r>
        <w:rPr>
          <w:rFonts w:ascii="Times New Roman" w:hAnsi="Times New Roman"/>
        </w:rPr>
        <w:t xml:space="preserve">evidence that the adapted version measures the same construct, with</w:t>
      </w:r>
      <w:r>
        <w:rPr>
          <w:rFonts w:ascii="Times New Roman" w:hAnsi="Times New Roman"/>
        </w:rPr>
        <w:t xml:space="preserve"> </w:t>
      </w:r>
      <w:r>
        <w:rPr>
          <w:rFonts w:ascii="Times New Roman" w:hAnsi="Times New Roman"/>
        </w:rPr>
        <w:t xml:space="preserve">equivalent psychometric properties, in the target population</w:t>
      </w:r>
      <w:r>
        <w:rPr>
          <w:rFonts w:ascii="Times New Roman" w:hAnsi="Times New Roman"/>
        </w:rPr>
        <w:t xml:space="preserve"> </w:t>
      </w:r>
      <w:r>
        <w:rPr>
          <w:rFonts w:ascii="Times New Roman" w:hAnsi="Times New Roman"/>
        </w:rPr>
        <w:t xml:space="preserve">(American Educational Research Association et al., 2014; Hambleton et al., 2005; International Test Commission, 2017)</w:t>
      </w:r>
      <w:r>
        <w:rPr>
          <w:rFonts w:ascii="Times New Roman" w:hAnsi="Times New Roman"/>
        </w:rPr>
        <w:t xml:space="preserve">. When assessment content</w:t>
      </w:r>
      <w:r>
        <w:rPr>
          <w:rFonts w:ascii="Times New Roman" w:hAnsi="Times New Roman"/>
        </w:rPr>
        <w:t xml:space="preserve"> </w:t>
      </w:r>
      <w:r>
        <w:rPr>
          <w:rFonts w:ascii="Times New Roman" w:hAnsi="Times New Roman"/>
        </w:rPr>
        <w:t xml:space="preserve">carries attitudinal valence—when scenarios, stimuli, or items</w:t>
      </w:r>
      <w:r>
        <w:rPr>
          <w:rFonts w:ascii="Times New Roman" w:hAnsi="Times New Roman"/>
        </w:rPr>
        <w:t xml:space="preserve"> </w:t>
      </w:r>
      <w:r>
        <w:rPr>
          <w:rFonts w:ascii="Times New Roman" w:hAnsi="Times New Roman"/>
        </w:rPr>
        <w:t xml:space="preserve">touch on beliefs that respondents may hold—an additional fairness</w:t>
      </w:r>
      <w:r>
        <w:rPr>
          <w:rFonts w:ascii="Times New Roman" w:hAnsi="Times New Roman"/>
        </w:rPr>
        <w:t xml:space="preserve"> </w:t>
      </w:r>
      <w:r>
        <w:rPr>
          <w:rFonts w:ascii="Times New Roman" w:hAnsi="Times New Roman"/>
        </w:rPr>
        <w:t xml:space="preserve">question arises: does the content introduce construct-irrelevant</w:t>
      </w:r>
      <w:r>
        <w:rPr>
          <w:rFonts w:ascii="Times New Roman" w:hAnsi="Times New Roman"/>
        </w:rPr>
        <w:t xml:space="preserve"> </w:t>
      </w:r>
      <w:r>
        <w:rPr>
          <w:rFonts w:ascii="Times New Roman" w:hAnsi="Times New Roman"/>
        </w:rPr>
        <w:t xml:space="preserve">variance (CIV) by functioning differently for subgroups whose</w:t>
      </w:r>
      <w:r>
        <w:rPr>
          <w:rFonts w:ascii="Times New Roman" w:hAnsi="Times New Roman"/>
        </w:rPr>
        <w:t xml:space="preserve"> </w:t>
      </w:r>
      <w:r>
        <w:rPr>
          <w:rFonts w:ascii="Times New Roman" w:hAnsi="Times New Roman"/>
        </w:rPr>
        <w:t xml:space="preserve">attitudes align with that content</w:t>
      </w:r>
      <w:r>
        <w:rPr>
          <w:rFonts w:ascii="Times New Roman" w:hAnsi="Times New Roman"/>
        </w:rPr>
        <w:t xml:space="preserve"> </w:t>
      </w:r>
      <w:r>
        <w:rPr>
          <w:rFonts w:ascii="Times New Roman" w:hAnsi="Times New Roman"/>
        </w:rPr>
        <w:t xml:space="preserve">(Messick, 1995)</w:t>
      </w:r>
      <w:r>
        <w:rPr>
          <w:rFonts w:ascii="Times New Roman" w:hAnsi="Times New Roman"/>
        </w:rPr>
        <w:t xml:space="preserve">? This question is</w:t>
      </w:r>
      <w:r>
        <w:rPr>
          <w:rFonts w:ascii="Times New Roman" w:hAnsi="Times New Roman"/>
        </w:rPr>
        <w:t xml:space="preserve"> </w:t>
      </w:r>
      <w:r>
        <w:rPr>
          <w:rFonts w:ascii="Times New Roman" w:hAnsi="Times New Roman"/>
        </w:rPr>
        <w:t xml:space="preserve">especially pressing for scenario-based instruments in the social</w:t>
      </w:r>
      <w:r>
        <w:rPr>
          <w:rFonts w:ascii="Times New Roman" w:hAnsi="Times New Roman"/>
        </w:rPr>
        <w:t xml:space="preserve"> </w:t>
      </w:r>
      <w:r>
        <w:rPr>
          <w:rFonts w:ascii="Times New Roman" w:hAnsi="Times New Roman"/>
        </w:rPr>
        <w:t xml:space="preserve">sciences, where rich contextual material is needed to elicit complex</w:t>
      </w:r>
      <w:r>
        <w:rPr>
          <w:rFonts w:ascii="Times New Roman" w:hAnsi="Times New Roman"/>
        </w:rPr>
        <w:t xml:space="preserve"> </w:t>
      </w:r>
      <w:r>
        <w:rPr>
          <w:rFonts w:ascii="Times New Roman" w:hAnsi="Times New Roman"/>
        </w:rPr>
        <w:t xml:space="preserve">reasoning but may simultaneously activate respondents’ pre-existing</w:t>
      </w:r>
      <w:r>
        <w:rPr>
          <w:rFonts w:ascii="Times New Roman" w:hAnsi="Times New Roman"/>
        </w:rPr>
        <w:t xml:space="preserve"> </w:t>
      </w:r>
      <w:r>
        <w:rPr>
          <w:rFonts w:ascii="Times New Roman" w:hAnsi="Times New Roman"/>
        </w:rPr>
        <w:t xml:space="preserve">attitudes. Historical perspective taking (HPT)—the capacity to</w:t>
      </w:r>
      <w:r>
        <w:rPr>
          <w:rFonts w:ascii="Times New Roman" w:hAnsi="Times New Roman"/>
        </w:rPr>
        <w:t xml:space="preserve"> </w:t>
      </w:r>
      <w:r>
        <w:rPr>
          <w:rFonts w:ascii="Times New Roman" w:hAnsi="Times New Roman"/>
        </w:rPr>
        <w:t xml:space="preserve">reconstruct the beliefs, values, and circumstances that made past</w:t>
      </w:r>
      <w:r>
        <w:rPr>
          <w:rFonts w:ascii="Times New Roman" w:hAnsi="Times New Roman"/>
        </w:rPr>
        <w:t xml:space="preserve"> </w:t>
      </w:r>
      <w:r>
        <w:rPr>
          <w:rFonts w:ascii="Times New Roman" w:hAnsi="Times New Roman"/>
        </w:rPr>
        <w:t xml:space="preserve">actors’ decisions intelligible in their own time</w:t>
      </w:r>
      <w:r>
        <w:rPr>
          <w:rFonts w:ascii="Times New Roman" w:hAnsi="Times New Roman"/>
        </w:rPr>
        <w:t xml:space="preserve"> </w:t>
      </w:r>
      <w:r>
        <w:rPr>
          <w:rFonts w:ascii="Times New Roman" w:hAnsi="Times New Roman"/>
        </w:rPr>
        <w:t xml:space="preserve">(Hartmann &amp; Hasselhorn, 2008; Lee &amp; Ashby, 2001)</w:t>
      </w:r>
      <w:r>
        <w:rPr>
          <w:rFonts w:ascii="Times New Roman" w:hAnsi="Times New Roman"/>
        </w:rPr>
        <w:t xml:space="preserve">—provides a particularly informative case, because</w:t>
      </w:r>
      <w:r>
        <w:rPr>
          <w:rFonts w:ascii="Times New Roman" w:hAnsi="Times New Roman"/>
        </w:rPr>
        <w:t xml:space="preserve"> </w:t>
      </w:r>
      <w:r>
        <w:rPr>
          <w:rFonts w:ascii="Times New Roman" w:hAnsi="Times New Roman"/>
        </w:rPr>
        <w:t xml:space="preserve">HPT instruments routinely use politically and morally charged</w:t>
      </w:r>
      <w:r>
        <w:rPr>
          <w:rFonts w:ascii="Times New Roman" w:hAnsi="Times New Roman"/>
        </w:rPr>
        <w:t xml:space="preserve"> </w:t>
      </w:r>
      <w:r>
        <w:rPr>
          <w:rFonts w:ascii="Times New Roman" w:hAnsi="Times New Roman"/>
        </w:rPr>
        <w:t xml:space="preserve">historical scenarios as the stimulus for disciplinary reasoning</w:t>
      </w:r>
      <w:r>
        <w:rPr>
          <w:rFonts w:ascii="Times New Roman" w:hAnsi="Times New Roman"/>
        </w:rPr>
        <w:t xml:space="preserve"> </w:t>
      </w:r>
      <w:r>
        <w:rPr>
          <w:rFonts w:ascii="Times New Roman" w:hAnsi="Times New Roman"/>
        </w:rPr>
        <w:t xml:space="preserve">(Drie &amp; Boxtel, 2007; Seixas &amp; Morton, 2013; Wineburg, 2001)</w:t>
      </w:r>
      <w:r>
        <w:rPr>
          <w:rFonts w:ascii="Times New Roman" w:hAnsi="Times New Roman"/>
        </w:rPr>
        <w:t xml:space="preserve">.</w:t>
      </w:r>
    </w:p>
    <w:p>
      <w:pPr>
        <w:pStyle w:val="BodyText"/>
        <w:spacing w:line="480" w:lineRule="auto"/>
      </w:pPr>
      <w:r>
        <w:rPr>
          <w:rFonts w:ascii="Times New Roman" w:hAnsi="Times New Roman"/>
        </w:rPr>
        <w:t xml:space="preserve">The instrument developed by</w:t>
      </w:r>
      <w:r>
        <w:rPr>
          <w:rFonts w:ascii="Times New Roman" w:hAnsi="Times New Roman"/>
        </w:rPr>
        <w:t xml:space="preserve"> </w:t>
      </w:r>
      <w:r>
        <w:rPr>
          <w:rFonts w:ascii="Times New Roman" w:hAnsi="Times New Roman"/>
        </w:rPr>
        <w:t xml:space="preserve">Hartmann &amp; Hasselhorn (2008)</w:t>
      </w:r>
      <w:r>
        <w:rPr>
          <w:rFonts w:ascii="Times New Roman" w:hAnsi="Times New Roman"/>
        </w:rPr>
        <w:t xml:space="preserve"> </w:t>
      </w:r>
      <w:r>
        <w:rPr>
          <w:rFonts w:ascii="Times New Roman" w:hAnsi="Times New Roman"/>
        </w:rPr>
        <w:t xml:space="preserve">represents the most widely used standardized HPT measure in European research. Originally validated with German secondary students, it has been adapted for use in the Netherlands</w:t>
      </w:r>
      <w:r>
        <w:rPr>
          <w:rFonts w:ascii="Times New Roman" w:hAnsi="Times New Roman"/>
        </w:rPr>
        <w:t xml:space="preserve"> </w:t>
      </w:r>
      <w:r>
        <w:rPr>
          <w:rFonts w:ascii="Times New Roman" w:hAnsi="Times New Roman"/>
        </w:rPr>
        <w:t xml:space="preserve">(Huijgen et al., 2014, 2017)</w:t>
      </w:r>
      <w:r>
        <w:rPr>
          <w:rFonts w:ascii="Times New Roman" w:hAnsi="Times New Roman"/>
        </w:rPr>
        <w:t xml:space="preserve"> </w:t>
      </w:r>
      <w:r>
        <w:rPr>
          <w:rFonts w:ascii="Times New Roman" w:hAnsi="Times New Roman"/>
        </w:rPr>
        <w:t xml:space="preserve">and employed in comparative studies of historical reasoning. The instrument operationalizes HPT through a scenario-based approach in which students read about a historically situated dilemma and respond to nine Likert-scaled items capturing three developmental levels: presentism (POP), recognition of the agent’s role (ROA), and contextualization (CONT). This structure reflects a theoretical progression from naive present-centered judgment toward increasingly sophisticated historical reasoning</w:t>
      </w:r>
      <w:r>
        <w:rPr>
          <w:rFonts w:ascii="Times New Roman" w:hAnsi="Times New Roman"/>
        </w:rPr>
        <w:t xml:space="preserve"> </w:t>
      </w:r>
      <w:r>
        <w:rPr>
          <w:rFonts w:ascii="Times New Roman" w:hAnsi="Times New Roman"/>
        </w:rPr>
        <w:t xml:space="preserve">(Hartmann &amp; Hasselhorn, 2008; Lee &amp; Ashby, 2001)</w:t>
      </w:r>
      <w:r>
        <w:rPr>
          <w:rFonts w:ascii="Times New Roman" w:hAnsi="Times New Roman"/>
        </w:rPr>
        <w:t xml:space="preserve">.</w:t>
      </w:r>
    </w:p>
    <w:p>
      <w:pPr>
        <w:pStyle w:val="BodyText"/>
        <w:spacing w:line="480" w:lineRule="auto"/>
      </w:pPr>
      <w:r>
        <w:rPr>
          <w:rFonts w:ascii="Times New Roman" w:hAnsi="Times New Roman"/>
        </w:rPr>
        <w:t xml:space="preserve">The present study reports the first Czech adaptation and psychometric evaluation of the Hartmann and Hasselhorn HPT instrument. Two considerations motivate this work. First, no validated Czech-language HPT instrument currently exists, despite growing interest in historical thinking assessment within Czech education reform</w:t>
      </w:r>
      <w:r>
        <w:rPr>
          <w:rFonts w:ascii="Times New Roman" w:hAnsi="Times New Roman"/>
        </w:rPr>
        <w:t xml:space="preserve"> </w:t>
      </w:r>
      <w:r>
        <w:rPr>
          <w:rFonts w:ascii="Times New Roman" w:hAnsi="Times New Roman"/>
        </w:rPr>
        <w:t xml:space="preserve">(Činátl et al., 2021; Münich et al., 2023; Ripka et al., 2024)</w:t>
      </w:r>
      <w:r>
        <w:rPr>
          <w:rFonts w:ascii="Times New Roman" w:hAnsi="Times New Roman"/>
        </w:rPr>
        <w:t xml:space="preserve">. The Czech adaptation addresses this gap and provides the research community with a tool for cross-cultural comparisons of HPT development.</w:t>
      </w:r>
    </w:p>
    <w:p>
      <w:pPr>
        <w:pStyle w:val="BodyText"/>
        <w:spacing w:line="480" w:lineRule="auto"/>
      </w:pPr>
      <w:r>
        <w:rPr>
          <w:rFonts w:ascii="Times New Roman" w:hAnsi="Times New Roman"/>
        </w:rPr>
        <w:t xml:space="preserve">Second, the instrument’s scenario content raises a specific fairness question. The scenario describes a young man in the Weimar Republic deliberating whether to join an extremist political movement. Items that require students to contextualize this figure’s reasoning could, in principle, function differently for students whose political attitudes align with the scenario’s ideological content. Students with right-authoritarian sympathies might find it cognitively easier to endorse contextualizing responses—not because they are reasoning historically, but because the responses resonate with their own attitudes. If present, such a pattern would constitute construct-irrelevant variance (CIV): systematic score variation attributable to a factor extraneous to the target construct</w:t>
      </w:r>
      <w:r>
        <w:rPr>
          <w:rFonts w:ascii="Times New Roman" w:hAnsi="Times New Roman"/>
        </w:rPr>
        <w:t xml:space="preserve"> </w:t>
      </w:r>
      <w:r>
        <w:rPr>
          <w:rFonts w:ascii="Times New Roman" w:hAnsi="Times New Roman"/>
        </w:rPr>
        <w:t xml:space="preserve">(American Educational Research Association et al., 2014; Messick, 1995)</w:t>
      </w:r>
      <w:r>
        <w:rPr>
          <w:rFonts w:ascii="Times New Roman" w:hAnsi="Times New Roman"/>
        </w:rPr>
        <w:t xml:space="preserve">.</w:t>
      </w:r>
    </w:p>
    <w:p>
      <w:pPr>
        <w:pStyle w:val="BodyText"/>
        <w:spacing w:line="480" w:lineRule="auto"/>
      </w:pPr>
      <w:r>
        <w:rPr>
          <w:rFonts w:ascii="Times New Roman" w:hAnsi="Times New Roman"/>
        </w:rPr>
        <w:t xml:space="preserve">This concern is not merely theoretical. Research on identity-protective cognition demonstrates that individuals process information through the lens of pre-existing beliefs</w:t>
      </w:r>
      <w:r>
        <w:rPr>
          <w:rFonts w:ascii="Times New Roman" w:hAnsi="Times New Roman"/>
        </w:rPr>
        <w:t xml:space="preserve"> </w:t>
      </w:r>
      <w:r>
        <w:rPr>
          <w:rFonts w:ascii="Times New Roman" w:hAnsi="Times New Roman"/>
        </w:rPr>
        <w:t xml:space="preserve">(Jost et al., 2003; Kahan et al., 2017)</w:t>
      </w:r>
      <w:r>
        <w:rPr>
          <w:rFonts w:ascii="Times New Roman" w:hAnsi="Times New Roman"/>
        </w:rPr>
        <w:t xml:space="preserve">. Recent work has documented how ideological content can infiltrate competence judgments in history assessment, whether through teacher scoring bias</w:t>
      </w:r>
      <w:r>
        <w:rPr>
          <w:rFonts w:ascii="Times New Roman" w:hAnsi="Times New Roman"/>
        </w:rPr>
        <w:t xml:space="preserve"> </w:t>
      </w:r>
      <w:r>
        <w:rPr>
          <w:rFonts w:ascii="Times New Roman" w:hAnsi="Times New Roman"/>
        </w:rPr>
        <w:t xml:space="preserve">(Alvén, 2019)</w:t>
      </w:r>
      <w:r>
        <w:rPr>
          <w:rFonts w:ascii="Times New Roman" w:hAnsi="Times New Roman"/>
        </w:rPr>
        <w:t xml:space="preserve"> </w:t>
      </w:r>
      <w:r>
        <w:rPr>
          <w:rFonts w:ascii="Times New Roman" w:hAnsi="Times New Roman"/>
        </w:rPr>
        <w:t xml:space="preserve">or through construct comparability challenges in cross-cultural settings</w:t>
      </w:r>
      <w:r>
        <w:rPr>
          <w:rFonts w:ascii="Times New Roman" w:hAnsi="Times New Roman"/>
        </w:rPr>
        <w:t xml:space="preserve"> </w:t>
      </w:r>
      <w:r>
        <w:rPr>
          <w:rFonts w:ascii="Times New Roman" w:hAnsi="Times New Roman"/>
        </w:rPr>
        <w:t xml:space="preserve">(Badham et al., 2025)</w:t>
      </w:r>
      <w:r>
        <w:rPr>
          <w:rFonts w:ascii="Times New Roman" w:hAnsi="Times New Roman"/>
        </w:rPr>
        <w:t xml:space="preserve">. For a measurement audience, the question is whether the HPT instrument’s psychometric properties—its factor structure, item parameters, and score interpretations—hold equivalently across students with different political attitudes, or whether politically charged content introduces measurement bias.</w:t>
      </w:r>
    </w:p>
    <w:p>
      <w:pPr>
        <w:pStyle w:val="BodyText"/>
        <w:spacing w:line="480" w:lineRule="auto"/>
      </w:pPr>
      <w:r>
        <w:rPr>
          <w:rFonts w:ascii="Times New Roman" w:hAnsi="Times New Roman"/>
        </w:rPr>
        <w:t xml:space="preserve">We address this question through a comprehensive validation study</w:t>
      </w:r>
      <w:r>
        <w:rPr>
          <w:rFonts w:ascii="Times New Roman" w:hAnsi="Times New Roman"/>
        </w:rPr>
        <w:t xml:space="preserve"> </w:t>
      </w:r>
      <w:r>
        <w:rPr>
          <w:rFonts w:ascii="Times New Roman" w:hAnsi="Times New Roman"/>
        </w:rPr>
        <w:t xml:space="preserve">that integrates confirmatory factor analysis (CFA), reliability</w:t>
      </w:r>
      <w:r>
        <w:rPr>
          <w:rFonts w:ascii="Times New Roman" w:hAnsi="Times New Roman"/>
        </w:rPr>
        <w:t xml:space="preserve"> </w:t>
      </w:r>
      <w:r>
        <w:rPr>
          <w:rFonts w:ascii="Times New Roman" w:hAnsi="Times New Roman"/>
        </w:rPr>
        <w:t xml:space="preserve">analysis, intraclass correlation estimation, IRT-based differential</w:t>
      </w:r>
      <w:r>
        <w:rPr>
          <w:rFonts w:ascii="Times New Roman" w:hAnsi="Times New Roman"/>
        </w:rPr>
        <w:t xml:space="preserve"> </w:t>
      </w:r>
      <w:r>
        <w:rPr>
          <w:rFonts w:ascii="Times New Roman" w:hAnsi="Times New Roman"/>
        </w:rPr>
        <w:t xml:space="preserve">item functioning (DIF) analysis, and multi-group CFA for measurement</w:t>
      </w:r>
      <w:r>
        <w:rPr>
          <w:rFonts w:ascii="Times New Roman" w:hAnsi="Times New Roman"/>
        </w:rPr>
        <w:t xml:space="preserve"> </w:t>
      </w:r>
      <w:r>
        <w:rPr>
          <w:rFonts w:ascii="Times New Roman" w:hAnsi="Times New Roman"/>
        </w:rPr>
        <w:t xml:space="preserve">invariance testing. The study contributes to the measurement</w:t>
      </w:r>
      <w:r>
        <w:rPr>
          <w:rFonts w:ascii="Times New Roman" w:hAnsi="Times New Roman"/>
        </w:rPr>
        <w:t xml:space="preserve"> </w:t>
      </w:r>
      <w:r>
        <w:rPr>
          <w:rFonts w:ascii="Times New Roman" w:hAnsi="Times New Roman"/>
        </w:rPr>
        <w:t xml:space="preserve">literature in three ways: (a) it demonstrates a transferable</w:t>
      </w:r>
      <w:r>
        <w:rPr>
          <w:rFonts w:ascii="Times New Roman" w:hAnsi="Times New Roman"/>
        </w:rPr>
        <w:t xml:space="preserve"> </w:t>
      </w:r>
      <w:r>
        <w:rPr>
          <w:rFonts w:ascii="Times New Roman" w:hAnsi="Times New Roman"/>
        </w:rPr>
        <w:t xml:space="preserve">methodological approach for evaluating whether attitudinally charged</w:t>
      </w:r>
      <w:r>
        <w:rPr>
          <w:rFonts w:ascii="Times New Roman" w:hAnsi="Times New Roman"/>
        </w:rPr>
        <w:t xml:space="preserve"> </w:t>
      </w:r>
      <w:r>
        <w:rPr>
          <w:rFonts w:ascii="Times New Roman" w:hAnsi="Times New Roman"/>
        </w:rPr>
        <w:t xml:space="preserve">assessment content introduces construct-irrelevant variance, (b) it</w:t>
      </w:r>
      <w:r>
        <w:rPr>
          <w:rFonts w:ascii="Times New Roman" w:hAnsi="Times New Roman"/>
        </w:rPr>
        <w:t xml:space="preserve"> </w:t>
      </w:r>
      <w:r>
        <w:rPr>
          <w:rFonts w:ascii="Times New Roman" w:hAnsi="Times New Roman"/>
        </w:rPr>
        <w:t xml:space="preserve">provides DIF and measurement invariance evidence for a</w:t>
      </w:r>
      <w:r>
        <w:rPr>
          <w:rFonts w:ascii="Times New Roman" w:hAnsi="Times New Roman"/>
        </w:rPr>
        <w:t xml:space="preserve"> </w:t>
      </w:r>
      <w:r>
        <w:rPr>
          <w:rFonts w:ascii="Times New Roman" w:hAnsi="Times New Roman"/>
        </w:rPr>
        <w:t xml:space="preserve">fairness-relevant grouping variable—political ideology—that has</w:t>
      </w:r>
      <w:r>
        <w:rPr>
          <w:rFonts w:ascii="Times New Roman" w:hAnsi="Times New Roman"/>
        </w:rPr>
        <w:t xml:space="preserve"> </w:t>
      </w:r>
      <w:r>
        <w:rPr>
          <w:rFonts w:ascii="Times New Roman" w:hAnsi="Times New Roman"/>
        </w:rPr>
        <w:t xml:space="preserve">not previously been examined in HPT measurement, and (c) it reports</w:t>
      </w:r>
      <w:r>
        <w:rPr>
          <w:rFonts w:ascii="Times New Roman" w:hAnsi="Times New Roman"/>
        </w:rPr>
        <w:t xml:space="preserve"> </w:t>
      </w:r>
      <w:r>
        <w:rPr>
          <w:rFonts w:ascii="Times New Roman" w:hAnsi="Times New Roman"/>
        </w:rPr>
        <w:t xml:space="preserve">the first published Czech validation of the Hartmann and Hasselhorn</w:t>
      </w:r>
      <w:r>
        <w:rPr>
          <w:rFonts w:ascii="Times New Roman" w:hAnsi="Times New Roman"/>
        </w:rPr>
        <w:t xml:space="preserve"> </w:t>
      </w:r>
      <w:r>
        <w:rPr>
          <w:rFonts w:ascii="Times New Roman" w:hAnsi="Times New Roman"/>
        </w:rPr>
        <w:t xml:space="preserve">HPT instrument, extending the cross-cultural evidence base for this</w:t>
      </w:r>
      <w:r>
        <w:rPr>
          <w:rFonts w:ascii="Times New Roman" w:hAnsi="Times New Roman"/>
        </w:rPr>
        <w:t xml:space="preserve"> </w:t>
      </w:r>
      <w:r>
        <w:rPr>
          <w:rFonts w:ascii="Times New Roman" w:hAnsi="Times New Roman"/>
        </w:rPr>
        <w:t xml:space="preserve">widely used measure.</w:t>
      </w:r>
    </w:p>
    <w:bookmarkEnd w:id="21"/>
    <w:bookmarkStart w:id="27" w:name="literature-review"/>
    <w:p>
      <w:pPr>
        <w:pStyle w:val="Heading2"/>
        <w:spacing w:line="480" w:lineRule="auto"/>
      </w:pPr>
      <w:r>
        <w:rPr>
          <w:rFonts w:ascii="Times New Roman" w:hAnsi="Times New Roman"/>
        </w:rPr>
        <w:t xml:space="preserve">2. Literature Review</w:t>
      </w:r>
    </w:p>
    <w:bookmarkStart w:id="22" w:name="Xd25b99b922c8dd26e78518f70edfa7a0076bb7a"/>
    <w:p>
      <w:pPr>
        <w:pStyle w:val="Heading3"/>
        <w:spacing w:line="480" w:lineRule="auto"/>
      </w:pPr>
      <w:r>
        <w:rPr>
          <w:rFonts w:ascii="Times New Roman" w:hAnsi="Times New Roman"/>
        </w:rPr>
        <w:t xml:space="preserve">2.1 Historical Perspective Taking and Its Measurement</w:t>
      </w:r>
    </w:p>
    <w:p>
      <w:pPr>
        <w:pStyle w:val="FirstParagraph"/>
        <w:spacing w:line="480" w:lineRule="auto"/>
      </w:pPr>
      <w:r>
        <w:rPr>
          <w:rFonts w:ascii="Times New Roman" w:hAnsi="Times New Roman"/>
        </w:rPr>
        <w:t xml:space="preserve">HPT refers to the ability to understand past actors’ decisions by reconstructing the historical context in which they operated</w:t>
      </w:r>
      <w:r>
        <w:rPr>
          <w:rFonts w:ascii="Times New Roman" w:hAnsi="Times New Roman"/>
        </w:rPr>
        <w:t xml:space="preserve"> </w:t>
      </w:r>
      <w:r>
        <w:rPr>
          <w:rFonts w:ascii="Times New Roman" w:hAnsi="Times New Roman"/>
        </w:rPr>
        <w:t xml:space="preserve">(Hartmann &amp; Hasselhorn, 2008; Lee &amp; Ashby, 2001)</w:t>
      </w:r>
      <w:r>
        <w:rPr>
          <w:rFonts w:ascii="Times New Roman" w:hAnsi="Times New Roman"/>
        </w:rPr>
        <w:t xml:space="preserve">. The concept has roots in British traditions distinguishing rational reconstruction from naive presentism</w:t>
      </w:r>
      <w:r>
        <w:rPr>
          <w:rFonts w:ascii="Times New Roman" w:hAnsi="Times New Roman"/>
        </w:rPr>
        <w:t xml:space="preserve"> </w:t>
      </w:r>
      <w:r>
        <w:rPr>
          <w:rFonts w:ascii="Times New Roman" w:hAnsi="Times New Roman"/>
        </w:rPr>
        <w:t xml:space="preserve">(Ashby &amp; Lee, 1987; Lee &amp; Ashby, 2001)</w:t>
      </w:r>
      <w:r>
        <w:rPr>
          <w:rFonts w:ascii="Times New Roman" w:hAnsi="Times New Roman"/>
        </w:rPr>
        <w:t xml:space="preserve"> </w:t>
      </w:r>
      <w:r>
        <w:rPr>
          <w:rFonts w:ascii="Times New Roman" w:hAnsi="Times New Roman"/>
        </w:rPr>
        <w:t xml:space="preserve">and has been situated within broader frameworks of historical reasoning that encompass evidence use, argumentation, and substantive concept deployment</w:t>
      </w:r>
      <w:r>
        <w:rPr>
          <w:rFonts w:ascii="Times New Roman" w:hAnsi="Times New Roman"/>
        </w:rPr>
        <w:t xml:space="preserve"> </w:t>
      </w:r>
      <w:r>
        <w:rPr>
          <w:rFonts w:ascii="Times New Roman" w:hAnsi="Times New Roman"/>
        </w:rPr>
        <w:t xml:space="preserve">(Drie &amp; Boxtel, 2007; Van Boxtel &amp; Van Drie, 2018)</w:t>
      </w:r>
      <w:r>
        <w:rPr>
          <w:rFonts w:ascii="Times New Roman" w:hAnsi="Times New Roman"/>
        </w:rPr>
        <w:t xml:space="preserve">. Across these frameworks, HPT is understood as a cognitively demanding, knowledge-dependent competence—not a disposition but a disciplinary achievement requiring both domain-specific knowledge and the capacity to deploy that knowledge in reconstructing past perspectives</w:t>
      </w:r>
      <w:r>
        <w:rPr>
          <w:rFonts w:ascii="Times New Roman" w:hAnsi="Times New Roman"/>
        </w:rPr>
        <w:t xml:space="preserve"> </w:t>
      </w:r>
      <w:r>
        <w:rPr>
          <w:rFonts w:ascii="Times New Roman" w:hAnsi="Times New Roman"/>
        </w:rPr>
        <w:t xml:space="preserve">(Chapman, 2021; Wineburg, 2001)</w:t>
      </w:r>
      <w:r>
        <w:rPr>
          <w:rFonts w:ascii="Times New Roman" w:hAnsi="Times New Roman"/>
        </w:rPr>
        <w:t xml:space="preserve">.</w:t>
      </w:r>
    </w:p>
    <w:p>
      <w:pPr>
        <w:pStyle w:val="BodyText"/>
        <w:spacing w:line="480" w:lineRule="auto"/>
      </w:pPr>
      <w:r>
        <w:rPr>
          <w:rFonts w:ascii="Times New Roman" w:hAnsi="Times New Roman"/>
        </w:rPr>
        <w:t xml:space="preserve">Hartmann &amp; Hasselhorn (2008)</w:t>
      </w:r>
      <w:r>
        <w:rPr>
          <w:rFonts w:ascii="Times New Roman" w:hAnsi="Times New Roman"/>
        </w:rPr>
        <w:t xml:space="preserve"> </w:t>
      </w:r>
      <w:r>
        <w:rPr>
          <w:rFonts w:ascii="Times New Roman" w:hAnsi="Times New Roman"/>
        </w:rPr>
        <w:t xml:space="preserve">operationalized HPT into a developmental model with three levels:</w:t>
      </w:r>
      <w:r>
        <w:rPr>
          <w:rFonts w:ascii="Times New Roman" w:hAnsi="Times New Roman"/>
        </w:rPr>
        <w:t xml:space="preserve"> </w:t>
      </w:r>
      <w:r>
        <w:rPr>
          <w:iCs/>
          <w:rFonts w:ascii="Times New Roman" w:hAnsi="Times New Roman"/>
          <w:i/>
        </w:rPr>
        <w:t xml:space="preserve">presentism</w:t>
      </w:r>
      <w:r>
        <w:rPr>
          <w:rFonts w:ascii="Times New Roman" w:hAnsi="Times New Roman"/>
        </w:rPr>
        <w:t xml:space="preserve"> </w:t>
      </w:r>
      <w:r>
        <w:rPr>
          <w:rFonts w:ascii="Times New Roman" w:hAnsi="Times New Roman"/>
        </w:rPr>
        <w:t xml:space="preserve">(POP), where students judge historical actors by contemporary standards;</w:t>
      </w:r>
      <w:r>
        <w:rPr>
          <w:rFonts w:ascii="Times New Roman" w:hAnsi="Times New Roman"/>
        </w:rPr>
        <w:t xml:space="preserve"> </w:t>
      </w:r>
      <w:r>
        <w:rPr>
          <w:iCs/>
          <w:rFonts w:ascii="Times New Roman" w:hAnsi="Times New Roman"/>
          <w:i/>
        </w:rPr>
        <w:t xml:space="preserve">recognition of the agent’s role</w:t>
      </w:r>
      <w:r>
        <w:rPr>
          <w:rFonts w:ascii="Times New Roman" w:hAnsi="Times New Roman"/>
        </w:rPr>
        <w:t xml:space="preserve"> </w:t>
      </w:r>
      <w:r>
        <w:rPr>
          <w:rFonts w:ascii="Times New Roman" w:hAnsi="Times New Roman"/>
        </w:rPr>
        <w:t xml:space="preserve">(ROA), where students acknowledge the agent’s social position without full contextual reconstruction; and</w:t>
      </w:r>
      <w:r>
        <w:rPr>
          <w:rFonts w:ascii="Times New Roman" w:hAnsi="Times New Roman"/>
        </w:rPr>
        <w:t xml:space="preserve"> </w:t>
      </w:r>
      <w:r>
        <w:rPr>
          <w:iCs/>
          <w:rFonts w:ascii="Times New Roman" w:hAnsi="Times New Roman"/>
          <w:i/>
        </w:rPr>
        <w:t xml:space="preserve">contextualization</w:t>
      </w:r>
      <w:r>
        <w:rPr>
          <w:rFonts w:ascii="Times New Roman" w:hAnsi="Times New Roman"/>
        </w:rPr>
        <w:t xml:space="preserve"> </w:t>
      </w:r>
      <w:r>
        <w:rPr>
          <w:rFonts w:ascii="Times New Roman" w:hAnsi="Times New Roman"/>
        </w:rPr>
        <w:t xml:space="preserve">(CONT), where students situate decisions within the specific historical conditions that rendered them intelligible. The original validation study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170 German students, Grade 10) recovered three levels through principal component analysis (explained variance = 51%), and students classified at the highest level had significantly better history grades. The instrument was extended by</w:t>
      </w:r>
      <w:r>
        <w:rPr>
          <w:rFonts w:ascii="Times New Roman" w:hAnsi="Times New Roman"/>
        </w:rPr>
        <w:t xml:space="preserve"> </w:t>
      </w:r>
      <w:r>
        <w:rPr>
          <w:rFonts w:ascii="Times New Roman" w:hAnsi="Times New Roman"/>
        </w:rPr>
        <w:t xml:space="preserve">Huijgen et al. (2014)</w:t>
      </w:r>
      <w:r>
        <w:rPr>
          <w:rFonts w:ascii="Times New Roman" w:hAnsi="Times New Roman"/>
        </w:rPr>
        <w:t xml:space="preserve"> </w:t>
      </w:r>
      <w:r>
        <w:rPr>
          <w:rFonts w:ascii="Times New Roman" w:hAnsi="Times New Roman"/>
        </w:rPr>
        <w:t xml:space="preserve">and</w:t>
      </w:r>
      <w:r>
        <w:rPr>
          <w:rFonts w:ascii="Times New Roman" w:hAnsi="Times New Roman"/>
        </w:rPr>
        <w:t xml:space="preserve"> </w:t>
      </w:r>
      <w:r>
        <w:rPr>
          <w:rFonts w:ascii="Times New Roman" w:hAnsi="Times New Roman"/>
        </w:rPr>
        <w:t xml:space="preserve">Huijgen et al. (2017)</w:t>
      </w:r>
      <w:r>
        <w:rPr>
          <w:rFonts w:ascii="Times New Roman" w:hAnsi="Times New Roman"/>
        </w:rPr>
        <w:t xml:space="preserve">, who confirmed the core theoretical structure while highlighting the difficulty of contextualization for most students.</w:t>
      </w:r>
    </w:p>
    <w:p>
      <w:pPr>
        <w:pStyle w:val="BodyText"/>
        <w:spacing w:line="480" w:lineRule="auto"/>
      </w:pPr>
      <w:r>
        <w:rPr>
          <w:rFonts w:ascii="Times New Roman" w:hAnsi="Times New Roman"/>
        </w:rPr>
        <w:t xml:space="preserve">The difficulty of measuring HPT stems from its inherently interpretive character. Unlike factual recall, HPT cannot be assessed through simple multiple-choice items with single correct answers</w:t>
      </w:r>
      <w:r>
        <w:rPr>
          <w:rFonts w:ascii="Times New Roman" w:hAnsi="Times New Roman"/>
        </w:rPr>
        <w:t xml:space="preserve"> </w:t>
      </w:r>
      <w:r>
        <w:rPr>
          <w:rFonts w:ascii="Times New Roman" w:hAnsi="Times New Roman"/>
        </w:rPr>
        <w:t xml:space="preserve">(Breakstone, 2014; Smith, 2017)</w:t>
      </w:r>
      <w:r>
        <w:rPr>
          <w:rFonts w:ascii="Times New Roman" w:hAnsi="Times New Roman"/>
        </w:rPr>
        <w:t xml:space="preserve">. Scenario-based instruments address this challenge by presenting contextual information and requiring students to evaluate statements reflecting different levels of historical reasoning</w:t>
      </w:r>
      <w:r>
        <w:rPr>
          <w:rFonts w:ascii="Times New Roman" w:hAnsi="Times New Roman"/>
        </w:rPr>
        <w:t xml:space="preserve"> </w:t>
      </w:r>
      <w:r>
        <w:rPr>
          <w:rFonts w:ascii="Times New Roman" w:hAnsi="Times New Roman"/>
        </w:rPr>
        <w:t xml:space="preserve">(Hartmann &amp; Hasselhorn, 2008; Seixas et al., 2015)</w:t>
      </w:r>
      <w:r>
        <w:rPr>
          <w:rFonts w:ascii="Times New Roman" w:hAnsi="Times New Roman"/>
        </w:rPr>
        <w:t xml:space="preserve">. However, this approach introduces a measurement tension: the richer the historical context, the more opportunity for construct-irrelevant factors—including attitudes toward that content—to influence responses.</w:t>
      </w:r>
    </w:p>
    <w:bookmarkEnd w:id="22"/>
    <w:bookmarkStart w:id="23" w:name="cross-cultural-test-adaptation"/>
    <w:p>
      <w:pPr>
        <w:pStyle w:val="Heading3"/>
        <w:spacing w:line="480" w:lineRule="auto"/>
      </w:pPr>
      <w:r>
        <w:rPr>
          <w:rFonts w:ascii="Times New Roman" w:hAnsi="Times New Roman"/>
        </w:rPr>
        <w:t xml:space="preserve">2.2 Cross-Cultural Test Adaptation</w:t>
      </w:r>
    </w:p>
    <w:p>
      <w:pPr>
        <w:pStyle w:val="FirstParagraph"/>
        <w:spacing w:line="480" w:lineRule="auto"/>
      </w:pPr>
      <w:r>
        <w:rPr>
          <w:rFonts w:ascii="Times New Roman" w:hAnsi="Times New Roman"/>
        </w:rPr>
        <w:t xml:space="preserve">The adaptation of educational and psychological instruments across languages and cultures requires systematic procedures to ensure that the adapted version measures the same construct as the original</w:t>
      </w:r>
      <w:r>
        <w:rPr>
          <w:rFonts w:ascii="Times New Roman" w:hAnsi="Times New Roman"/>
        </w:rPr>
        <w:t xml:space="preserve"> </w:t>
      </w:r>
      <w:r>
        <w:rPr>
          <w:rFonts w:ascii="Times New Roman" w:hAnsi="Times New Roman"/>
        </w:rPr>
        <w:t xml:space="preserve">(Hambleton et al., 2005; International Test Commission, 2017)</w:t>
      </w:r>
      <w:r>
        <w:rPr>
          <w:rFonts w:ascii="Times New Roman" w:hAnsi="Times New Roman"/>
        </w:rPr>
        <w:t xml:space="preserve">. The International Test Commission (ITC) guidelines emphasize that adaptation involves more than translation: it requires attention to construct equivalence, cultural appropriateness, and technical quality of the adapted version</w:t>
      </w:r>
      <w:r>
        <w:rPr>
          <w:rFonts w:ascii="Times New Roman" w:hAnsi="Times New Roman"/>
        </w:rPr>
        <w:t xml:space="preserve"> </w:t>
      </w:r>
      <w:r>
        <w:rPr>
          <w:rFonts w:ascii="Times New Roman" w:hAnsi="Times New Roman"/>
        </w:rPr>
        <w:t xml:space="preserve">(International Test Commission, 2017)</w:t>
      </w:r>
      <w:r>
        <w:rPr>
          <w:rFonts w:ascii="Times New Roman" w:hAnsi="Times New Roman"/>
        </w:rPr>
        <w:t xml:space="preserve">. For instruments used in history education, cross-cultural adaptation faces the additional challenge that historical content may carry different resonances across national contexts. A scenario about the Weimar Republic, originally designed for German students, intersects differently with Czech historical memory—where the period connects directly to the 1938 Munich Agreement, the cession of the Sudetenland, and the Nazi occupation of 1939–1945.</w:t>
      </w:r>
    </w:p>
    <w:p>
      <w:pPr>
        <w:pStyle w:val="BodyText"/>
        <w:spacing w:line="480" w:lineRule="auto"/>
      </w:pPr>
      <w:r>
        <w:rPr>
          <w:rFonts w:ascii="Times New Roman" w:hAnsi="Times New Roman"/>
        </w:rPr>
        <w:t xml:space="preserve">Cross-cultural validation studies should demonstrate that the adapted instrument preserves the factor structure, reliability, and validity relationships of the original</w:t>
      </w:r>
      <w:r>
        <w:rPr>
          <w:rFonts w:ascii="Times New Roman" w:hAnsi="Times New Roman"/>
        </w:rPr>
        <w:t xml:space="preserve"> </w:t>
      </w:r>
      <w:r>
        <w:rPr>
          <w:rFonts w:ascii="Times New Roman" w:hAnsi="Times New Roman"/>
        </w:rPr>
        <w:t xml:space="preserve">(Hambleton et al., 2005)</w:t>
      </w:r>
      <w:r>
        <w:rPr>
          <w:rFonts w:ascii="Times New Roman" w:hAnsi="Times New Roman"/>
        </w:rPr>
        <w:t xml:space="preserve">. At minimum, this requires confirming the theorized factor structure through CFA, reporting reliability estimates appropriate for the item characteristics, and providing convergent validity evidence through expected correlations with related constructs. When the instrument will be used to compare groups or predict outcomes, measurement invariance testing becomes essential</w:t>
      </w:r>
      <w:r>
        <w:rPr>
          <w:rFonts w:ascii="Times New Roman" w:hAnsi="Times New Roman"/>
        </w:rPr>
        <w:t xml:space="preserve"> </w:t>
      </w:r>
      <w:r>
        <w:rPr>
          <w:rFonts w:ascii="Times New Roman" w:hAnsi="Times New Roman"/>
        </w:rPr>
        <w:t xml:space="preserve">(American Educational Research Association et al., 2014)</w:t>
      </w:r>
      <w:r>
        <w:rPr>
          <w:rFonts w:ascii="Times New Roman" w:hAnsi="Times New Roman"/>
        </w:rPr>
        <w:t xml:space="preserve">.</w:t>
      </w:r>
    </w:p>
    <w:bookmarkEnd w:id="23"/>
    <w:bookmarkStart w:id="24" w:name="Xc2fb0153bc6f88ac7494a811b439581527d5748"/>
    <w:p>
      <w:pPr>
        <w:pStyle w:val="Heading3"/>
        <w:spacing w:line="480" w:lineRule="auto"/>
      </w:pPr>
      <w:r>
        <w:rPr>
          <w:rFonts w:ascii="Times New Roman" w:hAnsi="Times New Roman"/>
        </w:rPr>
        <w:t xml:space="preserve">2.3 Construct-Irrelevant Variance in Educational Assessment</w:t>
      </w:r>
    </w:p>
    <w:p>
      <w:pPr>
        <w:pStyle w:val="FirstParagraph"/>
        <w:spacing w:line="480" w:lineRule="auto"/>
      </w:pPr>
      <w:r>
        <w:rPr>
          <w:rFonts w:ascii="Times New Roman" w:hAnsi="Times New Roman"/>
        </w:rPr>
        <w:t xml:space="preserve">The unified validity framework identifies construct-irrelevant variance as a principal threat to score interpretation</w:t>
      </w:r>
      <w:r>
        <w:rPr>
          <w:rFonts w:ascii="Times New Roman" w:hAnsi="Times New Roman"/>
        </w:rPr>
        <w:t xml:space="preserve"> </w:t>
      </w:r>
      <w:r>
        <w:rPr>
          <w:rFonts w:ascii="Times New Roman" w:hAnsi="Times New Roman"/>
        </w:rPr>
        <w:t xml:space="preserve">(American Educational Research Association et al., 2014; Messick, 1995)</w:t>
      </w:r>
      <w:r>
        <w:rPr>
          <w:rFonts w:ascii="Times New Roman" w:hAnsi="Times New Roman"/>
        </w:rPr>
        <w:t xml:space="preserve">. CIV occurs when systematic variance in test scores is attributable to factors extraneous to the target construct. When assessment content intersects with respondents’ attitudes or social identities, CIV can arise through attitude-consistent responding: students whose beliefs align with test content may find certain response options more natural or appealing, inflating their scores without corresponding gains in the assessed competence</w:t>
      </w:r>
      <w:r>
        <w:rPr>
          <w:rFonts w:ascii="Times New Roman" w:hAnsi="Times New Roman"/>
        </w:rPr>
        <w:t xml:space="preserve"> </w:t>
      </w:r>
      <w:r>
        <w:rPr>
          <w:rFonts w:ascii="Times New Roman" w:hAnsi="Times New Roman"/>
        </w:rPr>
        <w:t xml:space="preserve">(Messick, 1995)</w:t>
      </w:r>
      <w:r>
        <w:rPr>
          <w:rFonts w:ascii="Times New Roman" w:hAnsi="Times New Roman"/>
        </w:rPr>
        <w:t xml:space="preserve">.</w:t>
      </w:r>
    </w:p>
    <w:p>
      <w:pPr>
        <w:pStyle w:val="BodyText"/>
        <w:spacing w:line="480" w:lineRule="auto"/>
      </w:pPr>
      <w:r>
        <w:rPr>
          <w:rFonts w:ascii="Times New Roman" w:hAnsi="Times New Roman"/>
        </w:rPr>
        <w:t xml:space="preserve">For the HPT instrument specifically, the concern is that the Weimar Republic scenario creates a</w:t>
      </w:r>
      <w:r>
        <w:rPr>
          <w:rFonts w:ascii="Times New Roman" w:hAnsi="Times New Roman"/>
        </w:rPr>
        <w:t xml:space="preserve"> </w:t>
      </w:r>
      <w:r>
        <w:rPr>
          <w:iCs/>
          <w:rFonts w:ascii="Times New Roman" w:hAnsi="Times New Roman"/>
          <w:i/>
        </w:rPr>
        <w:t xml:space="preserve">congruence pathway</w:t>
      </w:r>
      <w:r>
        <w:rPr>
          <w:rFonts w:ascii="Times New Roman" w:hAnsi="Times New Roman"/>
        </w:rPr>
        <w:t xml:space="preserve">: students with right-authoritarian attitudes might endorse contextualizing statements about the historical figure’s attraction to extremism not through disciplinary reasoning but through ideological sympathy. This would represent construct contamination in</w:t>
      </w:r>
      <w:r>
        <w:rPr>
          <w:rFonts w:ascii="Times New Roman" w:hAnsi="Times New Roman"/>
        </w:rPr>
        <w:t xml:space="preserve"> </w:t>
      </w:r>
      <w:r>
        <w:rPr>
          <w:rFonts w:ascii="Times New Roman" w:hAnsi="Times New Roman"/>
        </w:rPr>
        <w:t xml:space="preserve">Messick (1995)</w:t>
      </w:r>
      <w:r>
        <w:rPr>
          <w:rFonts w:ascii="Times New Roman" w:hAnsi="Times New Roman"/>
        </w:rPr>
        <w:t xml:space="preserve">’s terms—a systematic source of score variance unrelated to HPT competence. Evidence of internal structure, including measurement invariance across relevant subgroups, constitutes essential validity evidence when scores are used to compare groups or when the construct definition requires demonstrating that extraneous factors do not influence scores</w:t>
      </w:r>
      <w:r>
        <w:rPr>
          <w:rFonts w:ascii="Times New Roman" w:hAnsi="Times New Roman"/>
        </w:rPr>
        <w:t xml:space="preserve"> </w:t>
      </w:r>
      <w:r>
        <w:rPr>
          <w:rFonts w:ascii="Times New Roman" w:hAnsi="Times New Roman"/>
        </w:rPr>
        <w:t xml:space="preserve">(American Educational Research Association et al., 2014)</w:t>
      </w:r>
      <w:r>
        <w:rPr>
          <w:rFonts w:ascii="Times New Roman" w:hAnsi="Times New Roman"/>
        </w:rPr>
        <w:t xml:space="preserve">.</w:t>
      </w:r>
    </w:p>
    <w:p>
      <w:pPr>
        <w:pStyle w:val="BodyText"/>
        <w:spacing w:line="480" w:lineRule="auto"/>
      </w:pPr>
      <w:r>
        <w:rPr>
          <w:rFonts w:ascii="Times New Roman" w:hAnsi="Times New Roman"/>
        </w:rPr>
        <w:t xml:space="preserve">An alternative theoretical prediction deserves mention. Research on authoritarian cognition suggests that high authoritarianism is associated with reduced integrative complexity—the capacity to hold multiple conflicting perspectives simultaneously</w:t>
      </w:r>
      <w:r>
        <w:rPr>
          <w:rFonts w:ascii="Times New Roman" w:hAnsi="Times New Roman"/>
        </w:rPr>
        <w:t xml:space="preserve"> </w:t>
      </w:r>
      <w:r>
        <w:rPr>
          <w:rFonts w:ascii="Times New Roman" w:hAnsi="Times New Roman"/>
        </w:rPr>
        <w:t xml:space="preserve">(Duckitt, 2001; Suedfeld &amp; Tetlock, 1977)</w:t>
      </w:r>
      <w:r>
        <w:rPr>
          <w:rFonts w:ascii="Times New Roman" w:hAnsi="Times New Roman"/>
        </w:rPr>
        <w:t xml:space="preserve">. Because HPT requires precisely this kind of integrative capacity, authoritarian students might perform</w:t>
      </w:r>
      <w:r>
        <w:rPr>
          <w:rFonts w:ascii="Times New Roman" w:hAnsi="Times New Roman"/>
        </w:rPr>
        <w:t xml:space="preserve"> </w:t>
      </w:r>
      <w:r>
        <w:rPr>
          <w:iCs/>
          <w:rFonts w:ascii="Times New Roman" w:hAnsi="Times New Roman"/>
          <w:i/>
        </w:rPr>
        <w:t xml:space="preserve">worse</w:t>
      </w:r>
      <w:r>
        <w:rPr>
          <w:rFonts w:ascii="Times New Roman" w:hAnsi="Times New Roman"/>
        </w:rPr>
        <w:t xml:space="preserve">, not better. Additionally, dual-process theories of cognition</w:t>
      </w:r>
      <w:r>
        <w:rPr>
          <w:rFonts w:ascii="Times New Roman" w:hAnsi="Times New Roman"/>
        </w:rPr>
        <w:t xml:space="preserve"> </w:t>
      </w:r>
      <w:r>
        <w:rPr>
          <w:rFonts w:ascii="Times New Roman" w:hAnsi="Times New Roman"/>
        </w:rPr>
        <w:t xml:space="preserve">(Evans &amp; Stanovich, 2013)</w:t>
      </w:r>
      <w:r>
        <w:rPr>
          <w:rFonts w:ascii="Times New Roman" w:hAnsi="Times New Roman"/>
        </w:rPr>
        <w:t xml:space="preserve"> </w:t>
      </w:r>
      <w:r>
        <w:rPr>
          <w:rFonts w:ascii="Times New Roman" w:hAnsi="Times New Roman"/>
        </w:rPr>
        <w:t xml:space="preserve">suggest that structured assessment formats may channel deliberative processing, overriding the automatic attitude-retrieval processes that would produce attitude-consistent responding. If so, the assessment format itself may buffer against attitudinal interference.</w:t>
      </w:r>
    </w:p>
    <w:bookmarkEnd w:id="24"/>
    <w:bookmarkStart w:id="25" w:name="Xf19db0cf4eb4fb0c5118803836e9cb939e09795"/>
    <w:p>
      <w:pPr>
        <w:pStyle w:val="Heading3"/>
        <w:spacing w:line="480" w:lineRule="auto"/>
      </w:pPr>
      <w:r>
        <w:rPr>
          <w:rFonts w:ascii="Times New Roman" w:hAnsi="Times New Roman"/>
        </w:rPr>
        <w:t xml:space="preserve">2.4 DIF and Measurement Invariance as Fairness Evidence</w:t>
      </w:r>
    </w:p>
    <w:p>
      <w:pPr>
        <w:pStyle w:val="FirstParagraph"/>
        <w:spacing w:line="480" w:lineRule="auto"/>
      </w:pPr>
      <w:r>
        <w:rPr>
          <w:rFonts w:ascii="Times New Roman" w:hAnsi="Times New Roman"/>
        </w:rPr>
        <w:t xml:space="preserve">Differential item functioning and measurement invariance testing provide complementary approaches to evaluating measurement fairness</w:t>
      </w:r>
      <w:r>
        <w:rPr>
          <w:rFonts w:ascii="Times New Roman" w:hAnsi="Times New Roman"/>
        </w:rPr>
        <w:t xml:space="preserve"> </w:t>
      </w:r>
      <w:r>
        <w:rPr>
          <w:rFonts w:ascii="Times New Roman" w:hAnsi="Times New Roman"/>
        </w:rPr>
        <w:t xml:space="preserve">(Chen, 2007; Cheung &amp; Rensvold, 2002; Finch, 2005)</w:t>
      </w:r>
      <w:r>
        <w:rPr>
          <w:rFonts w:ascii="Times New Roman" w:hAnsi="Times New Roman"/>
        </w:rPr>
        <w:t xml:space="preserve">. DIF analysis examines whether individual items function differently across groups after controlling for the latent trait, identifying specific items that may be biased. Measurement invariance testing through multi-group CFA examines whether the overall measurement model—including factor structure (configural invariance), factor loadings (metric invariance), and item thresholds or intercepts (scalar invariance)—holds across groups.</w:t>
      </w:r>
    </w:p>
    <w:p>
      <w:pPr>
        <w:pStyle w:val="BodyText"/>
        <w:spacing w:line="480" w:lineRule="auto"/>
      </w:pPr>
      <w:r>
        <w:rPr>
          <w:rFonts w:ascii="Times New Roman" w:hAnsi="Times New Roman"/>
        </w:rPr>
        <w:t xml:space="preserve">For ordinal items, the weighted least squares mean and variance adjusted (WLSMV) estimator is recommended for CFA</w:t>
      </w:r>
      <w:r>
        <w:rPr>
          <w:rFonts w:ascii="Times New Roman" w:hAnsi="Times New Roman"/>
        </w:rPr>
        <w:t xml:space="preserve"> </w:t>
      </w:r>
      <w:r>
        <w:rPr>
          <w:rFonts w:ascii="Times New Roman" w:hAnsi="Times New Roman"/>
        </w:rPr>
        <w:t xml:space="preserve">(Flora &amp; Curran, 2004)</w:t>
      </w:r>
      <w:r>
        <w:rPr>
          <w:rFonts w:ascii="Times New Roman" w:hAnsi="Times New Roman"/>
        </w:rPr>
        <w:t xml:space="preserve">, and threshold-based invariance testing replaces intercept-based approaches. The conventional criteria for evaluating invariance steps use changes in fit indices rather than chi-square difference tests, which are sensitive to sample size: ΔCFI ≤ .01 and ΔRMSEA ≤ .015 indicate that the more constrained model does not fit meaningfully worse</w:t>
      </w:r>
      <w:r>
        <w:rPr>
          <w:rFonts w:ascii="Times New Roman" w:hAnsi="Times New Roman"/>
        </w:rPr>
        <w:t xml:space="preserve"> </w:t>
      </w:r>
      <w:r>
        <w:rPr>
          <w:rFonts w:ascii="Times New Roman" w:hAnsi="Times New Roman"/>
        </w:rPr>
        <w:t xml:space="preserve">(Chen, 2007; Cheung &amp; Rensvold, 2002)</w:t>
      </w:r>
      <w:r>
        <w:rPr>
          <w:rFonts w:ascii="Times New Roman" w:hAnsi="Times New Roman"/>
        </w:rPr>
        <w:t xml:space="preserve">.</w:t>
      </w:r>
    </w:p>
    <w:p>
      <w:pPr>
        <w:pStyle w:val="BodyText"/>
        <w:spacing w:line="480" w:lineRule="auto"/>
      </w:pPr>
      <w:r>
        <w:rPr>
          <w:rFonts w:ascii="Times New Roman" w:hAnsi="Times New Roman"/>
        </w:rPr>
        <w:t xml:space="preserve">In the context of HPT measurement, establishing scalar invariance across ideology groups would mean that the factor structure, loadings, and item thresholds are equivalent for students with different political attitudes—a necessary condition for concluding that observed score differences (or the lack thereof) reflect true construct differences rather than measurement artifacts.</w:t>
      </w:r>
    </w:p>
    <w:bookmarkEnd w:id="25"/>
    <w:bookmarkStart w:id="26" w:name="the-present-study"/>
    <w:p>
      <w:pPr>
        <w:pStyle w:val="Heading3"/>
        <w:spacing w:line="480" w:lineRule="auto"/>
      </w:pPr>
      <w:r>
        <w:rPr>
          <w:rFonts w:ascii="Times New Roman" w:hAnsi="Times New Roman"/>
        </w:rPr>
        <w:t xml:space="preserve">2.5 The Present Study</w:t>
      </w:r>
    </w:p>
    <w:p>
      <w:pPr>
        <w:pStyle w:val="FirstParagraph"/>
        <w:spacing w:line="480" w:lineRule="auto"/>
      </w:pPr>
      <w:r>
        <w:rPr>
          <w:rFonts w:ascii="Times New Roman" w:hAnsi="Times New Roman"/>
        </w:rPr>
        <w:t xml:space="preserve">This study addresses two interrelated measurement questions:</w:t>
      </w:r>
    </w:p>
    <w:p>
      <w:pPr>
        <w:numPr>
          <w:ilvl w:val="0"/>
          <w:numId w:val="1001"/>
        </w:numPr>
        <w:spacing w:line="480" w:lineRule="auto"/>
      </w:pPr>
      <w:r>
        <w:rPr>
          <w:rFonts w:ascii="Times New Roman" w:hAnsi="Times New Roman"/>
        </w:rPr>
        <w:t xml:space="preserve">Does the Czech adaptation of the Hartmann and Hasselhorn HPT instrument demonstrate acceptable psychometric properties, including the theorized three-factor structure, adequate reliability, and convergent validity with historical knowledge?</w:t>
      </w:r>
    </w:p>
    <w:p>
      <w:pPr>
        <w:numPr>
          <w:ilvl w:val="0"/>
          <w:numId w:val="1001"/>
        </w:numPr>
        <w:spacing w:line="480" w:lineRule="auto"/>
      </w:pPr>
      <w:r>
        <w:rPr>
          <w:rFonts w:ascii="Times New Roman" w:hAnsi="Times New Roman"/>
        </w:rPr>
        <w:t xml:space="preserve">Does the instrument function fairly across students with different political attitudes, as evidenced by the absence of DIF and by scalar measurement invariance across ideology groups?</w:t>
      </w:r>
    </w:p>
    <w:p>
      <w:pPr>
        <w:pStyle w:val="FirstParagraph"/>
        <w:spacing w:line="480" w:lineRule="auto"/>
      </w:pPr>
      <w:r>
        <w:rPr>
          <w:rFonts w:ascii="Times New Roman" w:hAnsi="Times New Roman"/>
        </w:rPr>
        <w:t xml:space="preserve">We hypothesized that the three-factor structure would be confirmed and that the instrument would demonstrate measurement invariance across ideology groups. As convergent validity evidence, we expected historical knowledge to correlate positively with HPT scores, consistent with the theoretical conceptualization of HPT as a knowledge-dependent competence.</w:t>
      </w:r>
    </w:p>
    <w:bookmarkEnd w:id="26"/>
    <w:bookmarkEnd w:id="27"/>
    <w:bookmarkStart w:id="37" w:name="method"/>
    <w:p>
      <w:pPr>
        <w:pStyle w:val="Heading2"/>
        <w:spacing w:line="480" w:lineRule="auto"/>
      </w:pPr>
      <w:r>
        <w:rPr>
          <w:rFonts w:ascii="Times New Roman" w:hAnsi="Times New Roman"/>
        </w:rPr>
        <w:t xml:space="preserve">3. Method</w:t>
      </w:r>
    </w:p>
    <w:bookmarkStart w:id="28" w:name="adaptation-process"/>
    <w:p>
      <w:pPr>
        <w:pStyle w:val="Heading3"/>
        <w:spacing w:line="480" w:lineRule="auto"/>
      </w:pPr>
      <w:r>
        <w:rPr>
          <w:rFonts w:ascii="Times New Roman" w:hAnsi="Times New Roman"/>
        </w:rPr>
        <w:t xml:space="preserve">3.1 Adaptation Process</w:t>
      </w:r>
    </w:p>
    <w:p>
      <w:pPr>
        <w:pStyle w:val="FirstParagraph"/>
        <w:spacing w:line="480" w:lineRule="auto"/>
      </w:pPr>
      <w:r>
        <w:rPr>
          <w:rFonts w:ascii="Times New Roman" w:hAnsi="Times New Roman"/>
        </w:rPr>
        <w:t xml:space="preserve">The Czech HPT instrument was developed through a systematic translation and adaptation process following ITC guidelines</w:t>
      </w:r>
      <w:r>
        <w:rPr>
          <w:rFonts w:ascii="Times New Roman" w:hAnsi="Times New Roman"/>
        </w:rPr>
        <w:t xml:space="preserve"> </w:t>
      </w:r>
      <w:r>
        <w:rPr>
          <w:rFonts w:ascii="Times New Roman" w:hAnsi="Times New Roman"/>
        </w:rPr>
        <w:t xml:space="preserve">(International Test Commission, 2017)</w:t>
      </w:r>
      <w:r>
        <w:rPr>
          <w:rFonts w:ascii="Times New Roman" w:hAnsi="Times New Roman"/>
        </w:rPr>
        <w:t xml:space="preserve">. Two bilingual Czech-English experts conducted independent forward translations from the published English version of the instrument. An independent backward translation was produced by a third bilingual expert unfamiliar with the original. Five Czech history educators at the secondary level reviewed the adapted items for conceptual equivalence, age-appropriateness, and curricular alignment. No items required substantive modification; minor wording adjustments were made to two items for naturalness in Czech. Reviewers confirmed that the Weimar Republic scenario content was familiar to Czech secondary students through the national history curriculum, given the direct connections between the interwar period and subsequent Czech historical experience (the Munich Agreement, the cession of the Sudetenland, and the Nazi occupation).</w:t>
      </w:r>
    </w:p>
    <w:p>
      <w:pPr>
        <w:pStyle w:val="BodyText"/>
        <w:spacing w:line="480" w:lineRule="auto"/>
      </w:pPr>
      <w:r>
        <w:rPr>
          <w:rFonts w:ascii="Times New Roman" w:hAnsi="Times New Roman"/>
        </w:rPr>
        <w:t xml:space="preserve">The adaptation preserved the original instrument’s structure: the four-point response format (1 =</w:t>
      </w:r>
      <w:r>
        <w:rPr>
          <w:rFonts w:ascii="Times New Roman" w:hAnsi="Times New Roman"/>
        </w:rPr>
        <w:t xml:space="preserve"> </w:t>
      </w:r>
      <w:r>
        <w:rPr>
          <w:iCs/>
          <w:rFonts w:ascii="Times New Roman" w:hAnsi="Times New Roman"/>
          <w:i/>
        </w:rPr>
        <w:t xml:space="preserve">strongly disagree</w:t>
      </w:r>
      <w:r>
        <w:rPr>
          <w:rFonts w:ascii="Times New Roman" w:hAnsi="Times New Roman"/>
        </w:rPr>
        <w:t xml:space="preserve"> </w:t>
      </w:r>
      <w:r>
        <w:rPr>
          <w:rFonts w:ascii="Times New Roman" w:hAnsi="Times New Roman"/>
        </w:rPr>
        <w:t xml:space="preserve">to 4 =</w:t>
      </w:r>
      <w:r>
        <w:rPr>
          <w:rFonts w:ascii="Times New Roman" w:hAnsi="Times New Roman"/>
        </w:rPr>
        <w:t xml:space="preserve"> </w:t>
      </w:r>
      <w:r>
        <w:rPr>
          <w:iCs/>
          <w:rFonts w:ascii="Times New Roman" w:hAnsi="Times New Roman"/>
          <w:i/>
        </w:rPr>
        <w:t xml:space="preserve">strongly agree</w:t>
      </w:r>
      <w:r>
        <w:rPr>
          <w:rFonts w:ascii="Times New Roman" w:hAnsi="Times New Roman"/>
        </w:rPr>
        <w:t xml:space="preserve">), the three-factor item structure (three items per subscale), and the reverse-scoring of POP items were retained unchanged from the validated German version. All deviations from the original were documented transparently in the OSF repository ([BLINDED]). The scenario narrative was cross-checked against the Czech history curriculum to confirm that all contextual references were accessible to the target population.</w:t>
      </w:r>
    </w:p>
    <w:p>
      <w:pPr>
        <w:pStyle w:val="BodyText"/>
        <w:spacing w:line="480" w:lineRule="auto"/>
      </w:pPr>
      <w:r>
        <w:rPr>
          <w:rFonts w:ascii="Times New Roman" w:hAnsi="Times New Roman"/>
        </w:rPr>
        <w:t xml:space="preserve">No cognitive pilot study (e.g., think-aloud interviews) was conducted prior to main data collection, which constitutes a limitation of the adaptation process (see Section 5.9).</w:t>
      </w:r>
    </w:p>
    <w:bookmarkEnd w:id="28"/>
    <w:bookmarkStart w:id="29" w:name="participants"/>
    <w:p>
      <w:pPr>
        <w:pStyle w:val="Heading3"/>
        <w:spacing w:line="480" w:lineRule="auto"/>
      </w:pPr>
      <w:r>
        <w:rPr>
          <w:rFonts w:ascii="Times New Roman" w:hAnsi="Times New Roman"/>
        </w:rPr>
        <w:t xml:space="preserve">3.2 Participants</w:t>
      </w:r>
    </w:p>
    <w:p>
      <w:pPr>
        <w:pStyle w:val="FirstParagraph"/>
        <w:spacing w:line="480" w:lineRule="auto"/>
      </w:pPr>
      <w:r>
        <w:rPr>
          <w:rFonts w:ascii="Times New Roman" w:hAnsi="Times New Roman"/>
        </w:rPr>
        <w:t xml:space="preserve">The sample comprised 293 students from 20 classrooms across 10 schools in the Czech Republic, spanning lower-secondary (ISCED 2;</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87, 29.7%) and upper-secondary (ISCED 3;</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206, 70.3%) levels. The inclusion criterion was completion of the curricular unit on the interwar period. Schools were drawn from five Czech regions (Praha: 42.7%; Kralovehradecky: 34.8%; Zlinsky: 11.3%; Jihomoravsky: 8.2%; Ustecky: 3.1%) and three funding categories (public: 90.8%; private: 6.5%; church-affiliated: 2.7%). Gender composition was 192 male (65.5%), 88 female (30.0%), and 13 identifying as another gender (4.4%). Students’ most recent history grade averaged 1.71 (</w:t>
      </w:r>
      <w:r>
        <w:rPr>
          <w:iCs/>
          <w:rFonts w:ascii="Times New Roman" w:hAnsi="Times New Roman"/>
          <w:i/>
        </w:rPr>
        <w:t xml:space="preserve">SD</w:t>
      </w:r>
      <w:r>
        <w:rPr>
          <w:rFonts w:ascii="Times New Roman" w:hAnsi="Times New Roman"/>
        </w:rPr>
        <w:t xml:space="preserve"> </w:t>
      </w:r>
      <w:r>
        <w:rPr>
          <w:rFonts w:ascii="Times New Roman" w:hAnsi="Times New Roman"/>
        </w:rPr>
        <w:t xml:space="preserve">= 0.92; Czech scale: 1 = excellent, 5 = failing).</w:t>
      </w:r>
    </w:p>
    <w:p>
      <w:pPr>
        <w:pStyle w:val="BodyText"/>
        <w:spacing w:line="480" w:lineRule="auto"/>
      </w:pPr>
      <w:r>
        <w:rPr>
          <w:rFonts w:ascii="Times New Roman" w:hAnsi="Times New Roman"/>
        </w:rPr>
        <w:t xml:space="preserve">Schools were recruited through convenience sampling; the sample over-represents upper-secondary students relative to the national age cohort composition and should not be treated as a probability sample of Czech adolescents. Sample size was determined by an a priori power analysis specified in the preregistered protocol ([BLINDED]), targeting 80% power to detect standardized ideology effects of β ≥ .15 in a two-level multilevel model; the achieved</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285–293 met this target. Within each school, all students present on the day of administration completed the instrument battery during a regular class period (approximately 30–40 minutes). Teachers were present during administration but did not intervene in students’ responses.</w:t>
      </w:r>
    </w:p>
    <w:bookmarkEnd w:id="29"/>
    <w:bookmarkStart w:id="35" w:name="instruments"/>
    <w:p>
      <w:pPr>
        <w:pStyle w:val="Heading3"/>
        <w:spacing w:line="480" w:lineRule="auto"/>
      </w:pPr>
      <w:r>
        <w:rPr>
          <w:rFonts w:ascii="Times New Roman" w:hAnsi="Times New Roman"/>
        </w:rPr>
        <w:t xml:space="preserve">3.3 Instruments</w:t>
      </w:r>
    </w:p>
    <w:bookmarkStart w:id="30" w:name="historical-perspective-taking-hpt"/>
    <w:p>
      <w:pPr>
        <w:pStyle w:val="Heading4"/>
        <w:spacing w:line="480" w:lineRule="auto"/>
      </w:pPr>
      <w:r>
        <w:rPr>
          <w:rFonts w:ascii="Times New Roman" w:hAnsi="Times New Roman"/>
        </w:rPr>
        <w:t xml:space="preserve">3.3.1 Historical Perspective Taking (HPT)</w:t>
      </w:r>
    </w:p>
    <w:p>
      <w:pPr>
        <w:pStyle w:val="FirstParagraph"/>
        <w:spacing w:line="480" w:lineRule="auto"/>
      </w:pPr>
      <w:r>
        <w:rPr>
          <w:rFonts w:ascii="Times New Roman" w:hAnsi="Times New Roman"/>
        </w:rPr>
        <w:t xml:space="preserve">The Czech adaptation of the</w:t>
      </w:r>
      <w:r>
        <w:rPr>
          <w:rFonts w:ascii="Times New Roman" w:hAnsi="Times New Roman"/>
        </w:rPr>
        <w:t xml:space="preserve"> </w:t>
      </w:r>
      <w:r>
        <w:rPr>
          <w:rFonts w:ascii="Times New Roman" w:hAnsi="Times New Roman"/>
        </w:rPr>
        <w:t xml:space="preserve">Hartmann &amp; Hasselhorn (2008)</w:t>
      </w:r>
      <w:r>
        <w:rPr>
          <w:rFonts w:ascii="Times New Roman" w:hAnsi="Times New Roman"/>
        </w:rPr>
        <w:t xml:space="preserve"> </w:t>
      </w:r>
      <w:r>
        <w:rPr>
          <w:rFonts w:ascii="Times New Roman" w:hAnsi="Times New Roman"/>
        </w:rPr>
        <w:t xml:space="preserve">scenario-based HPT instrument. Students read a narrative about a young man in the Weimar Republic considering joining an extremist political movement, then responded to nine items on a 4-point Likert scale. Three items each tapped presentism (POP1–POP3), recognition of the agent’s role (ROA1–ROA3), and contextualization (CONT1–CONT3). POP items capture present-centered moral judgments of the historical figure (e.g., evaluating his decision by contemporary standards); these are reverse-scored (5 − POP) so that higher scores indicate more contextualized reasoning. ROA items reflect awareness of the agent’s social position and circumstances without full contextual integration. CONT items represent the most sophisticated level, requiring students to situate the historical figure’s deliberation within the specific political, economic, and social conditions of the Weimar Republic. The primary composite was HPT_CTX6, the mean of reversed POP and CONT items. HPT_TOT9 (adding ROA) served as a secondary outcome.</w:t>
      </w:r>
    </w:p>
    <w:bookmarkEnd w:id="30"/>
    <w:bookmarkStart w:id="31" w:name="right-authoritarian-ideology-fr-lf-mini"/>
    <w:p>
      <w:pPr>
        <w:pStyle w:val="Heading4"/>
        <w:spacing w:line="480" w:lineRule="auto"/>
      </w:pPr>
      <w:r>
        <w:rPr>
          <w:rFonts w:ascii="Times New Roman" w:hAnsi="Times New Roman"/>
        </w:rPr>
        <w:t xml:space="preserve">3.3.2 Right-Authoritarian Ideology (FR-LF mini)</w:t>
      </w:r>
    </w:p>
    <w:p>
      <w:pPr>
        <w:pStyle w:val="FirstParagraph"/>
        <w:spacing w:line="480" w:lineRule="auto"/>
      </w:pPr>
      <w:r>
        <w:rPr>
          <w:rFonts w:ascii="Times New Roman" w:hAnsi="Times New Roman"/>
        </w:rPr>
        <w:t xml:space="preserve">A six-item short form of the Fragebogen Rechtsextremer Einstellungen—Leipziger Form</w:t>
      </w:r>
      <w:r>
        <w:rPr>
          <w:rFonts w:ascii="Times New Roman" w:hAnsi="Times New Roman"/>
        </w:rPr>
        <w:t xml:space="preserve"> </w:t>
      </w:r>
      <w:r>
        <w:rPr>
          <w:rFonts w:ascii="Times New Roman" w:hAnsi="Times New Roman"/>
        </w:rPr>
        <w:t xml:space="preserve">(Decker et al., 2013)</w:t>
      </w:r>
      <w:r>
        <w:rPr>
          <w:rFonts w:ascii="Times New Roman" w:hAnsi="Times New Roman"/>
        </w:rPr>
        <w:t xml:space="preserve">, comprising acceptance of right-wing dictatorship (RD; 3 items) and National Socialist sympathy/relativization (NS; 3 items) facets, rated on a 5-point scale. The NS facet is theoretically the most direct operationalization of potential content congruence with the Weimar scenario.</w:t>
      </w:r>
    </w:p>
    <w:bookmarkEnd w:id="31"/>
    <w:bookmarkStart w:id="32" w:name="authoritarianism-ksa-3"/>
    <w:p>
      <w:pPr>
        <w:pStyle w:val="Heading4"/>
        <w:spacing w:line="480" w:lineRule="auto"/>
      </w:pPr>
      <w:r>
        <w:rPr>
          <w:rFonts w:ascii="Times New Roman" w:hAnsi="Times New Roman"/>
        </w:rPr>
        <w:t xml:space="preserve">3.3.3 Authoritarianism (KSA-3)</w:t>
      </w:r>
    </w:p>
    <w:p>
      <w:pPr>
        <w:pStyle w:val="FirstParagraph"/>
        <w:spacing w:line="480" w:lineRule="auto"/>
      </w:pPr>
      <w:r>
        <w:rPr>
          <w:rFonts w:ascii="Times New Roman" w:hAnsi="Times New Roman"/>
        </w:rPr>
        <w:t xml:space="preserve">The nine-item Kurzskala Autoritarismus</w:t>
      </w:r>
      <w:r>
        <w:rPr>
          <w:rFonts w:ascii="Times New Roman" w:hAnsi="Times New Roman"/>
        </w:rPr>
        <w:t xml:space="preserve"> </w:t>
      </w:r>
      <w:r>
        <w:rPr>
          <w:rFonts w:ascii="Times New Roman" w:hAnsi="Times New Roman"/>
        </w:rPr>
        <w:t xml:space="preserve">(Beierlein et al., 2014)</w:t>
      </w:r>
      <w:r>
        <w:rPr>
          <w:rFonts w:ascii="Times New Roman" w:hAnsi="Times New Roman"/>
        </w:rPr>
        <w:t xml:space="preserve">, measuring authoritarian aggression, submission, and conventionalism on a 5-point scale. This instrument was used for a supplementary measurement invariance check using an alternative ideology operationalization.</w:t>
      </w:r>
    </w:p>
    <w:bookmarkEnd w:id="32"/>
    <w:bookmarkStart w:id="33" w:name="historical-knowledge-kn"/>
    <w:p>
      <w:pPr>
        <w:pStyle w:val="Heading4"/>
        <w:spacing w:line="480" w:lineRule="auto"/>
      </w:pPr>
      <w:r>
        <w:rPr>
          <w:rFonts w:ascii="Times New Roman" w:hAnsi="Times New Roman"/>
        </w:rPr>
        <w:t xml:space="preserve">3.3.4 Historical Knowledge (KN)</w:t>
      </w:r>
    </w:p>
    <w:p>
      <w:pPr>
        <w:pStyle w:val="FirstParagraph"/>
        <w:spacing w:line="480" w:lineRule="auto"/>
      </w:pPr>
      <w:r>
        <w:rPr>
          <w:rFonts w:ascii="Times New Roman" w:hAnsi="Times New Roman"/>
        </w:rPr>
        <w:t xml:space="preserve">Six multiple-choice items covering content relevant to the HPT scenario, scored dichotomously (sum score 0–6). This measure served as a convergent validity criterion, given the theoretical expectation that HPT is a knowledge-dependent competence.</w:t>
      </w:r>
    </w:p>
    <w:bookmarkEnd w:id="33"/>
    <w:bookmarkStart w:id="34" w:name="social-desirability-sdr-5"/>
    <w:p>
      <w:pPr>
        <w:pStyle w:val="Heading4"/>
        <w:spacing w:line="480" w:lineRule="auto"/>
      </w:pPr>
      <w:r>
        <w:rPr>
          <w:rFonts w:ascii="Times New Roman" w:hAnsi="Times New Roman"/>
        </w:rPr>
        <w:t xml:space="preserve">3.3.5 Social Desirability (SDR-5)</w:t>
      </w:r>
    </w:p>
    <w:p>
      <w:pPr>
        <w:pStyle w:val="FirstParagraph"/>
        <w:spacing w:line="480" w:lineRule="auto"/>
      </w:pPr>
      <w:r>
        <w:rPr>
          <w:rFonts w:ascii="Times New Roman" w:hAnsi="Times New Roman"/>
        </w:rPr>
        <w:t xml:space="preserve">The five-item short form</w:t>
      </w:r>
      <w:r>
        <w:rPr>
          <w:rFonts w:ascii="Times New Roman" w:hAnsi="Times New Roman"/>
        </w:rPr>
        <w:t xml:space="preserve"> </w:t>
      </w:r>
      <w:r>
        <w:rPr>
          <w:rFonts w:ascii="Times New Roman" w:hAnsi="Times New Roman"/>
        </w:rPr>
        <w:t xml:space="preserve">(Hays et al., 1989)</w:t>
      </w:r>
      <w:r>
        <w:rPr>
          <w:rFonts w:ascii="Times New Roman" w:hAnsi="Times New Roman"/>
        </w:rPr>
        <w:t xml:space="preserve">, rated on a 5-point scale with items SDR2–SDR4 reverse-coded. Included to evaluate whether HPT scores reflect impression management rather than genuine reasoning.</w:t>
      </w:r>
    </w:p>
    <w:bookmarkEnd w:id="34"/>
    <w:bookmarkEnd w:id="35"/>
    <w:bookmarkStart w:id="36" w:name="analytic-approach"/>
    <w:p>
      <w:pPr>
        <w:pStyle w:val="Heading3"/>
        <w:spacing w:line="480" w:lineRule="auto"/>
      </w:pPr>
      <w:r>
        <w:rPr>
          <w:rFonts w:ascii="Times New Roman" w:hAnsi="Times New Roman"/>
        </w:rPr>
        <w:t xml:space="preserve">3.4 Analytic Approach</w:t>
      </w:r>
    </w:p>
    <w:p>
      <w:pPr>
        <w:pStyle w:val="FirstParagraph"/>
        <w:spacing w:line="480" w:lineRule="auto"/>
      </w:pPr>
      <w:r>
        <w:rPr>
          <w:rFonts w:ascii="Times New Roman" w:hAnsi="Times New Roman"/>
        </w:rPr>
        <w:t xml:space="preserve">All analyses were conducted in R (version 4.4.2) using lavaan for CFA, mirt for IRT-based DIF analysis, psych for reliability estimation, and lme4/performance for intraclass correlations.</w:t>
      </w:r>
    </w:p>
    <w:p>
      <w:pPr>
        <w:pStyle w:val="BodyText"/>
        <w:spacing w:line="480" w:lineRule="auto"/>
      </w:pPr>
      <w:r>
        <w:rPr>
          <w:bCs/>
          <w:rFonts w:ascii="Times New Roman" w:hAnsi="Times New Roman"/>
          <w:b/>
        </w:rPr>
        <w:t xml:space="preserve">Factor structure.</w:t>
      </w:r>
      <w:r>
        <w:rPr>
          <w:rFonts w:ascii="Times New Roman" w:hAnsi="Times New Roman"/>
        </w:rPr>
        <w:t xml:space="preserve"> </w:t>
      </w:r>
      <w:r>
        <w:rPr>
          <w:rFonts w:ascii="Times New Roman" w:hAnsi="Times New Roman"/>
        </w:rPr>
        <w:t xml:space="preserve">CFA compared one-factor (general HPT), two-factor (POP+CONT vs. ROA), and three-factor (POP, ROA, CONT) models using the WLSMV estimator, appropriate for ordinal item responses</w:t>
      </w:r>
      <w:r>
        <w:rPr>
          <w:rFonts w:ascii="Times New Roman" w:hAnsi="Times New Roman"/>
        </w:rPr>
        <w:t xml:space="preserve"> </w:t>
      </w:r>
      <w:r>
        <w:rPr>
          <w:rFonts w:ascii="Times New Roman" w:hAnsi="Times New Roman"/>
        </w:rPr>
        <w:t xml:space="preserve">(Flora &amp; Curran, 2004)</w:t>
      </w:r>
      <w:r>
        <w:rPr>
          <w:rFonts w:ascii="Times New Roman" w:hAnsi="Times New Roman"/>
        </w:rPr>
        <w:t xml:space="preserve">. Model evaluation used CFI (≥ .95 acceptable, ≥ .97 good), TLI (≥ .95), RMSEA (≤ .08 acceptable, ≤ .05 good), and SRMR (≤ .08).</w:t>
      </w:r>
    </w:p>
    <w:p>
      <w:pPr>
        <w:pStyle w:val="BodyText"/>
        <w:spacing w:line="480" w:lineRule="auto"/>
      </w:pPr>
      <w:r>
        <w:rPr>
          <w:bCs/>
          <w:rFonts w:ascii="Times New Roman" w:hAnsi="Times New Roman"/>
          <w:b/>
        </w:rPr>
        <w:t xml:space="preserve">Reliability.</w:t>
      </w:r>
      <w:r>
        <w:rPr>
          <w:rFonts w:ascii="Times New Roman" w:hAnsi="Times New Roman"/>
        </w:rPr>
        <w:t xml:space="preserve"> </w:t>
      </w:r>
      <w:r>
        <w:rPr>
          <w:rFonts w:ascii="Times New Roman" w:hAnsi="Times New Roman"/>
        </w:rPr>
        <w:t xml:space="preserve">Internal consistency was assessed via Cronbach’s α (raw and based on polychoric correlations) and McDonald’s ω, which does not assume tau-equivalence and is generally preferred for congeneric measures</w:t>
      </w:r>
      <w:r>
        <w:rPr>
          <w:rFonts w:ascii="Times New Roman" w:hAnsi="Times New Roman"/>
        </w:rPr>
        <w:t xml:space="preserve"> </w:t>
      </w:r>
      <w:r>
        <w:rPr>
          <w:rFonts w:ascii="Times New Roman" w:hAnsi="Times New Roman"/>
        </w:rPr>
        <w:t xml:space="preserve">(Flora &amp; Curran, 2004)</w:t>
      </w:r>
      <w:r>
        <w:rPr>
          <w:rFonts w:ascii="Times New Roman" w:hAnsi="Times New Roman"/>
        </w:rPr>
        <w:t xml:space="preserve">.</w:t>
      </w:r>
    </w:p>
    <w:p>
      <w:pPr>
        <w:pStyle w:val="BodyText"/>
        <w:spacing w:line="480" w:lineRule="auto"/>
      </w:pPr>
      <w:r>
        <w:rPr>
          <w:bCs/>
          <w:rFonts w:ascii="Times New Roman" w:hAnsi="Times New Roman"/>
          <w:b/>
        </w:rPr>
        <w:t xml:space="preserve">Intraclass correlations.</w:t>
      </w:r>
      <w:r>
        <w:rPr>
          <w:rFonts w:ascii="Times New Roman" w:hAnsi="Times New Roman"/>
        </w:rPr>
        <w:t xml:space="preserve"> </w:t>
      </w:r>
      <w:r>
        <w:rPr>
          <w:rFonts w:ascii="Times New Roman" w:hAnsi="Times New Roman"/>
        </w:rPr>
        <w:t xml:space="preserve">ICCs at the school and classroom levels</w:t>
      </w:r>
      <w:r>
        <w:rPr>
          <w:rFonts w:ascii="Times New Roman" w:hAnsi="Times New Roman"/>
        </w:rPr>
        <w:t xml:space="preserve"> </w:t>
      </w:r>
      <w:r>
        <w:rPr>
          <w:rFonts w:ascii="Times New Roman" w:hAnsi="Times New Roman"/>
        </w:rPr>
        <w:t xml:space="preserve">were computed to characterize the multilevel structure of the data</w:t>
      </w:r>
      <w:r>
        <w:rPr>
          <w:rFonts w:ascii="Times New Roman" w:hAnsi="Times New Roman"/>
        </w:rPr>
        <w:t xml:space="preserve"> </w:t>
      </w:r>
      <w:r>
        <w:rPr>
          <w:rFonts w:ascii="Times New Roman" w:hAnsi="Times New Roman"/>
        </w:rPr>
        <w:t xml:space="preserve">and to evaluate whether clustering warranted multilevel approaches.</w:t>
      </w:r>
    </w:p>
    <w:p>
      <w:pPr>
        <w:pStyle w:val="BodyText"/>
        <w:spacing w:line="480" w:lineRule="auto"/>
      </w:pPr>
      <w:r>
        <w:rPr>
          <w:bCs/>
          <w:rFonts w:ascii="Times New Roman" w:hAnsi="Times New Roman"/>
          <w:b/>
        </w:rPr>
        <w:t xml:space="preserve">Clustered data handling.</w:t>
      </w:r>
      <w:r>
        <w:rPr>
          <w:rFonts w:ascii="Times New Roman" w:hAnsi="Times New Roman"/>
        </w:rPr>
        <w:t xml:space="preserve"> </w:t>
      </w:r>
      <w:r>
        <w:rPr>
          <w:rFonts w:ascii="Times New Roman" w:hAnsi="Times New Roman"/>
        </w:rPr>
        <w:t xml:space="preserve">The DIF and MG-CFA analyses treat</w:t>
      </w:r>
      <w:r>
        <w:rPr>
          <w:rFonts w:ascii="Times New Roman" w:hAnsi="Times New Roman"/>
        </w:rPr>
        <w:t xml:space="preserve"> </w:t>
      </w:r>
      <w:r>
        <w:rPr>
          <w:rFonts w:ascii="Times New Roman" w:hAnsi="Times New Roman"/>
        </w:rPr>
        <w:t xml:space="preserve">observations as independent, which is standard practice in applied</w:t>
      </w:r>
      <w:r>
        <w:rPr>
          <w:rFonts w:ascii="Times New Roman" w:hAnsi="Times New Roman"/>
        </w:rPr>
        <w:t xml:space="preserve"> </w:t>
      </w:r>
      <w:r>
        <w:rPr>
          <w:rFonts w:ascii="Times New Roman" w:hAnsi="Times New Roman"/>
        </w:rPr>
        <w:t xml:space="preserve">DIF and measurement invariance research. To evaluate whether</w:t>
      </w:r>
      <w:r>
        <w:rPr>
          <w:rFonts w:ascii="Times New Roman" w:hAnsi="Times New Roman"/>
        </w:rPr>
        <w:t xml:space="preserve"> </w:t>
      </w:r>
      <w:r>
        <w:rPr>
          <w:rFonts w:ascii="Times New Roman" w:hAnsi="Times New Roman"/>
        </w:rPr>
        <w:t xml:space="preserve">ignoring the nested structure introduces meaningful bias, design</w:t>
      </w:r>
      <w:r>
        <w:rPr>
          <w:rFonts w:ascii="Times New Roman" w:hAnsi="Times New Roman"/>
        </w:rPr>
        <w:t xml:space="preserve"> </w:t>
      </w:r>
      <w:r>
        <w:rPr>
          <w:rFonts w:ascii="Times New Roman" w:hAnsi="Times New Roman"/>
        </w:rPr>
        <w:t xml:space="preserve">effects were computed post hoc as DEFF = 1 + (</w:t>
      </w:r>
      <w:r>
        <w:rPr>
          <w:rFonts w:ascii="Times New Roman" w:hAnsi="Times New Roman"/>
        </w:rPr>
        <w:t xml:space="preserve">_c − 1)</w:t>
      </w:r>
      <w:r>
        <w:rPr>
          <w:rFonts w:ascii="Times New Roman" w:hAnsi="Times New Roman"/>
        </w:rPr>
        <w:t xml:space="preserve"> </w:t>
      </w:r>
      <w:r>
        <w:rPr>
          <w:rFonts w:ascii="Times New Roman" w:hAnsi="Times New Roman"/>
        </w:rPr>
        <w:t xml:space="preserve">× ICC, where</w:t>
      </w:r>
      <w:r>
        <w:rPr>
          <w:rFonts w:ascii="Times New Roman" w:hAnsi="Times New Roman"/>
        </w:rPr>
        <w:t xml:space="preserve"> </w:t>
      </w:r>
      <w:r>
        <w:rPr>
          <w:rFonts w:ascii="Times New Roman" w:hAnsi="Times New Roman"/>
        </w:rPr>
        <w:t xml:space="preserve">_c is the average cluster size. With</w:t>
      </w:r>
      <w:r>
        <w:rPr>
          <w:rFonts w:ascii="Times New Roman" w:hAnsi="Times New Roman"/>
        </w:rPr>
        <w:t xml:space="preserve"> </w:t>
      </w:r>
      <w:r>
        <w:rPr>
          <w:rFonts w:ascii="Times New Roman" w:hAnsi="Times New Roman"/>
        </w:rPr>
        <w:t xml:space="preserve">10 schools and an average of approximately 14.7 students per school,</w:t>
      </w:r>
      <w:r>
        <w:rPr>
          <w:rFonts w:ascii="Times New Roman" w:hAnsi="Times New Roman"/>
        </w:rPr>
        <w:t xml:space="preserve"> </w:t>
      </w:r>
      <w:r>
        <w:rPr>
          <w:rFonts w:ascii="Times New Roman" w:hAnsi="Times New Roman"/>
        </w:rPr>
        <w:t xml:space="preserve">the design effects for the primary HPT composites were modest</w:t>
      </w:r>
      <w:r>
        <w:rPr>
          <w:rFonts w:ascii="Times New Roman" w:hAnsi="Times New Roman"/>
        </w:rPr>
        <w:t xml:space="preserve"> </w:t>
      </w:r>
      <w:r>
        <w:rPr>
          <w:rFonts w:ascii="Times New Roman" w:hAnsi="Times New Roman"/>
        </w:rPr>
        <w:t xml:space="preserve">(HPT_CTX6: DEFF = 1.56; HPT_TOT9: DEFF = 2.16). A DEFF below 2.0</w:t>
      </w:r>
      <w:r>
        <w:rPr>
          <w:rFonts w:ascii="Times New Roman" w:hAnsi="Times New Roman"/>
        </w:rPr>
        <w:t xml:space="preserve"> </w:t>
      </w:r>
      <w:r>
        <w:rPr>
          <w:rFonts w:ascii="Times New Roman" w:hAnsi="Times New Roman"/>
        </w:rPr>
        <w:t xml:space="preserve">is conventionally regarded as acceptable for treating observations</w:t>
      </w:r>
      <w:r>
        <w:rPr>
          <w:rFonts w:ascii="Times New Roman" w:hAnsi="Times New Roman"/>
        </w:rPr>
        <w:t xml:space="preserve"> </w:t>
      </w:r>
      <w:r>
        <w:rPr>
          <w:rFonts w:ascii="Times New Roman" w:hAnsi="Times New Roman"/>
        </w:rPr>
        <w:t xml:space="preserve">as independent</w:t>
      </w:r>
      <w:r>
        <w:rPr>
          <w:rFonts w:ascii="Times New Roman" w:hAnsi="Times New Roman"/>
        </w:rPr>
        <w:t xml:space="preserve"> </w:t>
      </w:r>
      <w:r>
        <w:rPr>
          <w:rFonts w:ascii="Times New Roman" w:hAnsi="Times New Roman"/>
        </w:rPr>
        <w:t xml:space="preserve">(Maas &amp; Hox, 2005)</w:t>
      </w:r>
      <w:r>
        <w:rPr>
          <w:rFonts w:ascii="Times New Roman" w:hAnsi="Times New Roman"/>
        </w:rPr>
        <w:t xml:space="preserve">; the primary outcome meets this</w:t>
      </w:r>
      <w:r>
        <w:rPr>
          <w:rFonts w:ascii="Times New Roman" w:hAnsi="Times New Roman"/>
        </w:rPr>
        <w:t xml:space="preserve"> </w:t>
      </w:r>
      <w:r>
        <w:rPr>
          <w:rFonts w:ascii="Times New Roman" w:hAnsi="Times New Roman"/>
        </w:rPr>
        <w:t xml:space="preserve">threshold. The</w:t>
      </w:r>
      <w:r>
        <w:rPr>
          <w:rFonts w:ascii="Times New Roman" w:hAnsi="Times New Roman"/>
        </w:rPr>
        <w:t xml:space="preserve"> </w:t>
      </w:r>
      <w:r>
        <w:rPr>
          <w:rFonts w:ascii="Times New Roman" w:hAnsi="Times New Roman"/>
        </w:rPr>
        <w:t xml:space="preserve">TYPE=COMPLEX option in lavaan (which adjusts standard errors via</w:t>
      </w:r>
      <w:r>
        <w:rPr>
          <w:rFonts w:ascii="Times New Roman" w:hAnsi="Times New Roman"/>
        </w:rPr>
        <w:t xml:space="preserve"> </w:t>
      </w:r>
      <w:r>
        <w:rPr>
          <w:rFonts w:ascii="Times New Roman" w:hAnsi="Times New Roman"/>
        </w:rPr>
        <w:t xml:space="preserve">sandwich estimators) was not applied, because the DIF analysis in</w:t>
      </w:r>
      <w:r>
        <w:rPr>
          <w:rFonts w:ascii="Times New Roman" w:hAnsi="Times New Roman"/>
        </w:rPr>
        <w:t xml:space="preserve"> </w:t>
      </w:r>
      <w:r>
        <w:rPr>
          <w:rFonts w:ascii="Times New Roman" w:hAnsi="Times New Roman"/>
        </w:rPr>
        <w:t xml:space="preserve">mirt does not support clustered standard errors, and applying</w:t>
      </w:r>
      <w:r>
        <w:rPr>
          <w:rFonts w:ascii="Times New Roman" w:hAnsi="Times New Roman"/>
        </w:rPr>
        <w:t xml:space="preserve"> </w:t>
      </w:r>
      <w:r>
        <w:rPr>
          <w:rFonts w:ascii="Times New Roman" w:hAnsi="Times New Roman"/>
        </w:rPr>
        <w:t xml:space="preserve">different corrections to the DIF and MG-CFA analyses would make the</w:t>
      </w:r>
      <w:r>
        <w:rPr>
          <w:rFonts w:ascii="Times New Roman" w:hAnsi="Times New Roman"/>
        </w:rPr>
        <w:t xml:space="preserve"> </w:t>
      </w:r>
      <w:r>
        <w:rPr>
          <w:rFonts w:ascii="Times New Roman" w:hAnsi="Times New Roman"/>
        </w:rPr>
        <w:t xml:space="preserve">two sets of results less directly comparable.</w:t>
      </w:r>
    </w:p>
    <w:p>
      <w:pPr>
        <w:pStyle w:val="BodyText"/>
        <w:spacing w:line="480" w:lineRule="auto"/>
      </w:pPr>
      <w:r>
        <w:rPr>
          <w:bCs/>
          <w:rFonts w:ascii="Times New Roman" w:hAnsi="Times New Roman"/>
          <w:b/>
        </w:rPr>
        <w:t xml:space="preserve">Differential item functioning.</w:t>
      </w:r>
      <w:r>
        <w:rPr>
          <w:rFonts w:ascii="Times New Roman" w:hAnsi="Times New Roman"/>
        </w:rPr>
        <w:t xml:space="preserve"> </w:t>
      </w:r>
      <w:r>
        <w:rPr>
          <w:rFonts w:ascii="Times New Roman" w:hAnsi="Times New Roman"/>
        </w:rPr>
        <w:t xml:space="preserve">Low and High ideology groups were</w:t>
      </w:r>
      <w:r>
        <w:rPr>
          <w:rFonts w:ascii="Times New Roman" w:hAnsi="Times New Roman"/>
        </w:rPr>
        <w:t xml:space="preserve"> </w:t>
      </w:r>
      <w:r>
        <w:rPr>
          <w:rFonts w:ascii="Times New Roman" w:hAnsi="Times New Roman"/>
        </w:rPr>
        <w:t xml:space="preserve">formed using tertile splits on a composite ideology score (mean of</w:t>
      </w:r>
      <w:r>
        <w:rPr>
          <w:rFonts w:ascii="Times New Roman" w:hAnsi="Times New Roman"/>
        </w:rPr>
        <w:t xml:space="preserve"> </w:t>
      </w:r>
      <w:r>
        <w:rPr>
          <w:iCs/>
          <w:rFonts w:ascii="Times New Roman" w:hAnsi="Times New Roman"/>
          <w:i/>
        </w:rPr>
        <w:t xml:space="preserve">z</w:t>
      </w:r>
      <w:r>
        <w:rPr>
          <w:rFonts w:ascii="Times New Roman" w:hAnsi="Times New Roman"/>
        </w:rPr>
        <w:t xml:space="preserve">-scored FR-LF and KSA-3), with the middle tertile excluded to</w:t>
      </w:r>
      <w:r>
        <w:rPr>
          <w:rFonts w:ascii="Times New Roman" w:hAnsi="Times New Roman"/>
        </w:rPr>
        <w:t xml:space="preserve"> </w:t>
      </w:r>
      <w:r>
        <w:rPr>
          <w:rFonts w:ascii="Times New Roman" w:hAnsi="Times New Roman"/>
        </w:rPr>
        <w:t xml:space="preserve">maximize contrast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96 per group). This extreme-group</w:t>
      </w:r>
      <w:r>
        <w:rPr>
          <w:rFonts w:ascii="Times New Roman" w:hAnsi="Times New Roman"/>
        </w:rPr>
        <w:t xml:space="preserve"> </w:t>
      </w:r>
      <w:r>
        <w:rPr>
          <w:rFonts w:ascii="Times New Roman" w:hAnsi="Times New Roman"/>
        </w:rPr>
        <w:t xml:space="preserve">design follows established practice in DIF research</w:t>
      </w:r>
      <w:r>
        <w:rPr>
          <w:rFonts w:ascii="Times New Roman" w:hAnsi="Times New Roman"/>
        </w:rPr>
        <w:t xml:space="preserve"> </w:t>
      </w:r>
      <w:r>
        <w:rPr>
          <w:rFonts w:ascii="Times New Roman" w:hAnsi="Times New Roman"/>
        </w:rPr>
        <w:t xml:space="preserve">(Finch, 2005)</w:t>
      </w:r>
      <w:r>
        <w:rPr>
          <w:rFonts w:ascii="Times New Roman" w:hAnsi="Times New Roman"/>
        </w:rPr>
        <w:t xml:space="preserve">. A</w:t>
      </w:r>
      <w:r>
        <w:rPr>
          <w:rFonts w:ascii="Times New Roman" w:hAnsi="Times New Roman"/>
        </w:rPr>
        <w:t xml:space="preserve"> </w:t>
      </w:r>
      <w:r>
        <w:rPr>
          <w:rFonts w:ascii="Times New Roman" w:hAnsi="Times New Roman"/>
        </w:rPr>
        <w:t xml:space="preserve">constrained multi-group graded response model tested each item for</w:t>
      </w:r>
      <w:r>
        <w:rPr>
          <w:rFonts w:ascii="Times New Roman" w:hAnsi="Times New Roman"/>
        </w:rPr>
        <w:t xml:space="preserve"> </w:t>
      </w:r>
      <w:r>
        <w:rPr>
          <w:rFonts w:ascii="Times New Roman" w:hAnsi="Times New Roman"/>
        </w:rPr>
        <w:t xml:space="preserve">uniform (threshold differences) and non-uniform (slope differences)</w:t>
      </w:r>
      <w:r>
        <w:rPr>
          <w:rFonts w:ascii="Times New Roman" w:hAnsi="Times New Roman"/>
        </w:rPr>
        <w:t xml:space="preserve"> </w:t>
      </w:r>
      <w:r>
        <w:rPr>
          <w:rFonts w:ascii="Times New Roman" w:hAnsi="Times New Roman"/>
        </w:rPr>
        <w:t xml:space="preserve">DIF with Bonferroni correction (α = .01).</w:t>
      </w:r>
    </w:p>
    <w:p>
      <w:pPr>
        <w:pStyle w:val="BodyText"/>
        <w:spacing w:line="480" w:lineRule="auto"/>
      </w:pPr>
      <w:r>
        <w:rPr>
          <w:bCs/>
          <w:rFonts w:ascii="Times New Roman" w:hAnsi="Times New Roman"/>
          <w:b/>
        </w:rPr>
        <w:t xml:space="preserve">Sensitivity of DIF detection.</w:t>
      </w:r>
      <w:r>
        <w:rPr>
          <w:rFonts w:ascii="Times New Roman" w:hAnsi="Times New Roman"/>
        </w:rPr>
        <w:t xml:space="preserve"> </w:t>
      </w:r>
      <w:r>
        <w:rPr>
          <w:rFonts w:ascii="Times New Roman" w:hAnsi="Times New Roman"/>
        </w:rPr>
        <w:t xml:space="preserve">With approximately 96 respondents</w:t>
      </w:r>
      <w:r>
        <w:rPr>
          <w:rFonts w:ascii="Times New Roman" w:hAnsi="Times New Roman"/>
        </w:rPr>
        <w:t xml:space="preserve"> </w:t>
      </w:r>
      <w:r>
        <w:rPr>
          <w:rFonts w:ascii="Times New Roman" w:hAnsi="Times New Roman"/>
        </w:rPr>
        <w:t xml:space="preserve">per ideology group, the likelihood-ratio DIF tests at</w:t>
      </w:r>
      <w:r>
        <w:rPr>
          <w:rFonts w:ascii="Times New Roman" w:hAnsi="Times New Roman"/>
        </w:rPr>
        <w:t xml:space="preserve"> </w:t>
      </w:r>
      <w:r>
        <w:rPr>
          <w:rFonts w:ascii="Times New Roman" w:hAnsi="Times New Roman"/>
        </w:rPr>
        <w:t xml:space="preserve">Bonferroni-corrected α = .01 (9 tests) are powered primarily</w:t>
      </w:r>
      <w:r>
        <w:rPr>
          <w:rFonts w:ascii="Times New Roman" w:hAnsi="Times New Roman"/>
        </w:rPr>
        <w:t xml:space="preserve"> </w:t>
      </w:r>
      <w:r>
        <w:rPr>
          <w:rFonts w:ascii="Times New Roman" w:hAnsi="Times New Roman"/>
        </w:rPr>
        <w:t xml:space="preserve">to detect moderate-to-large parameter differences (Δβ</w:t>
      </w:r>
      <w:r>
        <w:rPr>
          <w:rFonts w:ascii="Times New Roman" w:hAnsi="Times New Roman"/>
        </w:rPr>
        <w:t xml:space="preserve"> </w:t>
      </w:r>
      <w:r>
        <w:rPr>
          <w:rFonts w:ascii="Times New Roman" w:hAnsi="Times New Roman"/>
        </w:rPr>
        <w:t xml:space="preserve">≥ 0.5 logits on discrimination or threshold parameters). Weak</w:t>
      </w:r>
      <w:r>
        <w:rPr>
          <w:rFonts w:ascii="Times New Roman" w:hAnsi="Times New Roman"/>
        </w:rPr>
        <w:t xml:space="preserve"> </w:t>
      </w:r>
      <w:r>
        <w:rPr>
          <w:rFonts w:ascii="Times New Roman" w:hAnsi="Times New Roman"/>
        </w:rPr>
        <w:t xml:space="preserve">DIF effects (Δβ &lt; 0.5 logits) cannot be confidently</w:t>
      </w:r>
      <w:r>
        <w:rPr>
          <w:rFonts w:ascii="Times New Roman" w:hAnsi="Times New Roman"/>
        </w:rPr>
        <w:t xml:space="preserve"> </w:t>
      </w:r>
      <w:r>
        <w:rPr>
          <w:rFonts w:ascii="Times New Roman" w:hAnsi="Times New Roman"/>
        </w:rPr>
        <w:t xml:space="preserve">excluded. This sensitivity threshold is consistent with the sample</w:t>
      </w:r>
      <w:r>
        <w:rPr>
          <w:rFonts w:ascii="Times New Roman" w:hAnsi="Times New Roman"/>
        </w:rPr>
        <w:t xml:space="preserve"> </w:t>
      </w:r>
      <w:r>
        <w:rPr>
          <w:rFonts w:ascii="Times New Roman" w:hAnsi="Times New Roman"/>
        </w:rPr>
        <w:t xml:space="preserve">size requirements documented for IRT-based DIF methods</w:t>
      </w:r>
      <w:r>
        <w:rPr>
          <w:rFonts w:ascii="Times New Roman" w:hAnsi="Times New Roman"/>
        </w:rPr>
        <w:t xml:space="preserve"> </w:t>
      </w:r>
      <w:r>
        <w:rPr>
          <w:rFonts w:ascii="Times New Roman" w:hAnsi="Times New Roman"/>
        </w:rPr>
        <w:t xml:space="preserve">(Finch, 2005)</w:t>
      </w:r>
      <w:r>
        <w:rPr>
          <w:rFonts w:ascii="Times New Roman" w:hAnsi="Times New Roman"/>
        </w:rPr>
        <w:t xml:space="preserve">. The extreme-group design maximizes statistical</w:t>
      </w:r>
      <w:r>
        <w:rPr>
          <w:rFonts w:ascii="Times New Roman" w:hAnsi="Times New Roman"/>
        </w:rPr>
        <w:t xml:space="preserve"> </w:t>
      </w:r>
      <w:r>
        <w:rPr>
          <w:rFonts w:ascii="Times New Roman" w:hAnsi="Times New Roman"/>
        </w:rPr>
        <w:t xml:space="preserve">contrast between ideology subgroups at the cost of reduced per-group</w:t>
      </w:r>
      <w:r>
        <w:rPr>
          <w:rFonts w:ascii="Times New Roman" w:hAnsi="Times New Roman"/>
        </w:rPr>
        <w:t xml:space="preserve"> </w:t>
      </w:r>
      <w:r>
        <w:rPr>
          <w:rFonts w:ascii="Times New Roman" w:hAnsi="Times New Roman"/>
        </w:rPr>
        <w:t xml:space="preserve">sample size—a standard trade-off in DIF research when the</w:t>
      </w:r>
      <w:r>
        <w:rPr>
          <w:rFonts w:ascii="Times New Roman" w:hAnsi="Times New Roman"/>
        </w:rPr>
        <w:t xml:space="preserve"> </w:t>
      </w:r>
      <w:r>
        <w:rPr>
          <w:rFonts w:ascii="Times New Roman" w:hAnsi="Times New Roman"/>
        </w:rPr>
        <w:t xml:space="preserve">grouping variable is continuous.</w:t>
      </w:r>
    </w:p>
    <w:p>
      <w:pPr>
        <w:pStyle w:val="BodyText"/>
        <w:spacing w:line="480" w:lineRule="auto"/>
      </w:pPr>
      <w:r>
        <w:rPr>
          <w:bCs/>
          <w:rFonts w:ascii="Times New Roman" w:hAnsi="Times New Roman"/>
          <w:b/>
        </w:rPr>
        <w:t xml:space="preserve">Multi-group CFA.</w:t>
      </w:r>
      <w:r>
        <w:rPr>
          <w:rFonts w:ascii="Times New Roman" w:hAnsi="Times New Roman"/>
        </w:rPr>
        <w:t xml:space="preserve"> </w:t>
      </w:r>
      <w:r>
        <w:rPr>
          <w:rFonts w:ascii="Times New Roman" w:hAnsi="Times New Roman"/>
        </w:rPr>
        <w:t xml:space="preserve">Stepwise MG-CFA tested configural, metric, and scalar invariance across ideology groups using the three-factor model with WLSMV estimation. Invariance was evaluated using ΔCFI ≤ .01 and ΔRMSEA ≤ .015 criteria</w:t>
      </w:r>
      <w:r>
        <w:rPr>
          <w:rFonts w:ascii="Times New Roman" w:hAnsi="Times New Roman"/>
        </w:rPr>
        <w:t xml:space="preserve"> </w:t>
      </w:r>
      <w:r>
        <w:rPr>
          <w:rFonts w:ascii="Times New Roman" w:hAnsi="Times New Roman"/>
        </w:rPr>
        <w:t xml:space="preserve">(Chen, 2007; Cheung &amp; Rensvold, 2002)</w:t>
      </w:r>
      <w:r>
        <w:rPr>
          <w:rFonts w:ascii="Times New Roman" w:hAnsi="Times New Roman"/>
        </w:rPr>
        <w:t xml:space="preserve">.</w:t>
      </w:r>
    </w:p>
    <w:p>
      <w:pPr>
        <w:pStyle w:val="BodyText"/>
        <w:spacing w:line="480" w:lineRule="auto"/>
      </w:pPr>
      <w:r>
        <w:rPr>
          <w:bCs/>
          <w:rFonts w:ascii="Times New Roman" w:hAnsi="Times New Roman"/>
          <w:b/>
        </w:rPr>
        <w:t xml:space="preserve">Convergent validity.</w:t>
      </w:r>
      <w:r>
        <w:rPr>
          <w:rFonts w:ascii="Times New Roman" w:hAnsi="Times New Roman"/>
        </w:rPr>
        <w:t xml:space="preserve"> </w:t>
      </w:r>
      <w:r>
        <w:rPr>
          <w:rFonts w:ascii="Times New Roman" w:hAnsi="Times New Roman"/>
        </w:rPr>
        <w:t xml:space="preserve">Pearson correlations between HPT composites and historical knowledge provided convergent validity evidence.</w:t>
      </w:r>
    </w:p>
    <w:p>
      <w:pPr>
        <w:pStyle w:val="BodyText"/>
        <w:spacing w:line="480" w:lineRule="auto"/>
      </w:pPr>
      <w:r>
        <w:rPr>
          <w:bCs/>
          <w:rFonts w:ascii="Times New Roman" w:hAnsi="Times New Roman"/>
          <w:b/>
        </w:rPr>
        <w:t xml:space="preserve">Supplementary invariance check.</w:t>
      </w:r>
      <w:r>
        <w:rPr>
          <w:rFonts w:ascii="Times New Roman" w:hAnsi="Times New Roman"/>
        </w:rPr>
        <w:t xml:space="preserve"> </w:t>
      </w:r>
      <w:r>
        <w:rPr>
          <w:rFonts w:ascii="Times New Roman" w:hAnsi="Times New Roman"/>
        </w:rPr>
        <w:t xml:space="preserve">To verify that invariance findings were not an artifact of the composite ideology definition, MG-CFA was also conducted using NS-only grouping (the facet most directly content-congruent with the Weimar scenario).</w:t>
      </w:r>
    </w:p>
    <w:bookmarkEnd w:id="36"/>
    <w:bookmarkEnd w:id="37"/>
    <w:bookmarkStart w:id="48" w:name="results"/>
    <w:p>
      <w:pPr>
        <w:pStyle w:val="Heading2"/>
        <w:spacing w:line="480" w:lineRule="auto"/>
      </w:pPr>
      <w:r>
        <w:rPr>
          <w:rFonts w:ascii="Times New Roman" w:hAnsi="Times New Roman"/>
        </w:rPr>
        <w:t xml:space="preserve">4. Results</w:t>
      </w:r>
    </w:p>
    <w:bookmarkStart w:id="38" w:name="factor-structure"/>
    <w:p>
      <w:pPr>
        <w:pStyle w:val="Heading3"/>
        <w:spacing w:line="480" w:lineRule="auto"/>
      </w:pPr>
      <w:r>
        <w:rPr>
          <w:rFonts w:ascii="Times New Roman" w:hAnsi="Times New Roman"/>
        </w:rPr>
        <w:t xml:space="preserve">4.1 Factor Structure</w:t>
      </w:r>
    </w:p>
    <w:p>
      <w:pPr>
        <w:pStyle w:val="FirstParagraph"/>
        <w:spacing w:line="480" w:lineRule="auto"/>
      </w:pPr>
      <w:r>
        <w:rPr>
          <w:rFonts w:ascii="Times New Roman" w:hAnsi="Times New Roman"/>
        </w:rPr>
        <w:t xml:space="preserve">CFA supported the three-factor model (POP, ROA, CONT) as best-fitting, outperforming the two-factor and one-factor alternatives (Table 1). The three-factor model showed excellent global fit: CFI = .999, TLI = .998, RMSEA = .011 (90% CI [.000, .051]), SRMR = .048. The two-factor model combining POP and CONT items on a single factor showed acceptable but inferior fit (CFI = .956, RMSEA = .057), while the one-factor model fit poorly (CFI = .926, RMSEA = .073).</w:t>
      </w:r>
    </w:p>
    <w:p>
      <w:pPr>
        <w:pStyle w:val="BodyText"/>
        <w:spacing w:line="480" w:lineRule="auto"/>
      </w:pPr>
      <w:r>
        <w:rPr>
          <w:bCs/>
          <w:rFonts w:ascii="Times New Roman" w:hAnsi="Times New Roman"/>
          <w:b/>
        </w:rPr>
        <w:t xml:space="preserve">Table 1.</w:t>
      </w:r>
      <w:r>
        <w:rPr>
          <w:rFonts w:ascii="Times New Roman" w:hAnsi="Times New Roman"/>
        </w:rPr>
        <w:t xml:space="preserve"> </w:t>
      </w:r>
      <w:r>
        <w:rPr>
          <w:iCs/>
          <w:rFonts w:ascii="Times New Roman" w:hAnsi="Times New Roman"/>
          <w:i/>
        </w:rPr>
        <w:t xml:space="preserve">CFA Fit Indices for HPT Factor Models (WLSMV Estimator)</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026"/>
        <w:gridCol w:w="1466"/>
        <w:gridCol w:w="880"/>
        <w:gridCol w:w="733"/>
        <w:gridCol w:w="733"/>
        <w:gridCol w:w="1026"/>
        <w:gridCol w:w="1173"/>
        <w:gridCol w:w="880"/>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Model</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χ²</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df</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CFI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TLI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RMSEA</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90% CI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SRMR</w:t>
            </w:r>
          </w:p>
        </w:tc>
      </w:tr>
      <w:tr>
        <w:tc>
          <w:tcPr/>
          <w:p>
            <w:pPr>
              <w:pStyle w:val="Compact"/>
              <w:spacing w:line="240" w:lineRule="auto" w:before="20" w:after="20"/>
              <w:jc w:val="left"/>
            </w:pPr>
            <w:r>
              <w:rPr>
                <w:rFonts w:ascii="Times New Roman" w:hAnsi="Times New Roman"/>
                <w:sz w:val="20"/>
              </w:rPr>
              <w:t xml:space="preserve">1-Factor</w:t>
            </w:r>
          </w:p>
        </w:tc>
        <w:tc>
          <w:tcPr/>
          <w:p>
            <w:pPr>
              <w:pStyle w:val="Compact"/>
              <w:spacing w:line="240" w:lineRule="auto" w:before="20" w:after="20"/>
              <w:jc w:val="left"/>
            </w:pPr>
            <w:r>
              <w:rPr>
                <w:rFonts w:ascii="Times New Roman" w:hAnsi="Times New Roman"/>
                <w:sz w:val="20"/>
              </w:rPr>
              <w:t xml:space="preserve">66.68</w:t>
            </w:r>
          </w:p>
        </w:tc>
        <w:tc>
          <w:tcPr/>
          <w:p>
            <w:pPr>
              <w:pStyle w:val="Compact"/>
              <w:spacing w:line="240" w:lineRule="auto" w:before="20" w:after="20"/>
              <w:jc w:val="left"/>
            </w:pPr>
            <w:r>
              <w:rPr>
                <w:rFonts w:ascii="Times New Roman" w:hAnsi="Times New Roman"/>
                <w:sz w:val="20"/>
              </w:rPr>
              <w:t xml:space="preserve">27</w:t>
            </w:r>
          </w:p>
        </w:tc>
        <w:tc>
          <w:tcPr/>
          <w:p>
            <w:pPr>
              <w:pStyle w:val="Compact"/>
              <w:spacing w:line="240" w:lineRule="auto" w:before="20" w:after="20"/>
              <w:jc w:val="left"/>
            </w:pPr>
            <w:r>
              <w:rPr>
                <w:rFonts w:ascii="Times New Roman" w:hAnsi="Times New Roman"/>
                <w:sz w:val="20"/>
              </w:rPr>
              <w:t xml:space="preserve">.926</w:t>
            </w:r>
          </w:p>
        </w:tc>
        <w:tc>
          <w:tcPr/>
          <w:p>
            <w:pPr>
              <w:pStyle w:val="Compact"/>
              <w:spacing w:line="240" w:lineRule="auto" w:before="20" w:after="20"/>
              <w:jc w:val="left"/>
            </w:pPr>
            <w:r>
              <w:rPr>
                <w:rFonts w:ascii="Times New Roman" w:hAnsi="Times New Roman"/>
                <w:sz w:val="20"/>
              </w:rPr>
              <w:t xml:space="preserve">.902</w:t>
            </w:r>
          </w:p>
        </w:tc>
        <w:tc>
          <w:tcPr/>
          <w:p>
            <w:pPr>
              <w:pStyle w:val="Compact"/>
              <w:spacing w:line="240" w:lineRule="auto" w:before="20" w:after="20"/>
              <w:jc w:val="left"/>
            </w:pPr>
            <w:r>
              <w:rPr>
                <w:rFonts w:ascii="Times New Roman" w:hAnsi="Times New Roman"/>
                <w:sz w:val="20"/>
              </w:rPr>
              <w:t xml:space="preserve">.073</w:t>
            </w:r>
          </w:p>
        </w:tc>
        <w:tc>
          <w:tcPr/>
          <w:p>
            <w:pPr>
              <w:pStyle w:val="Compact"/>
              <w:spacing w:line="240" w:lineRule="auto" w:before="20" w:after="20"/>
              <w:jc w:val="left"/>
            </w:pPr>
            <w:r>
              <w:rPr>
                <w:rFonts w:ascii="Times New Roman" w:hAnsi="Times New Roman"/>
                <w:sz w:val="20"/>
              </w:rPr>
              <w:t xml:space="preserve">[.051, .095]</w:t>
            </w:r>
          </w:p>
        </w:tc>
        <w:tc>
          <w:tcPr/>
          <w:p>
            <w:pPr>
              <w:pStyle w:val="Compact"/>
              <w:spacing w:line="240" w:lineRule="auto" w:before="20" w:after="20"/>
              <w:jc w:val="left"/>
            </w:pPr>
            <w:r>
              <w:rPr>
                <w:rFonts w:ascii="Times New Roman" w:hAnsi="Times New Roman"/>
                <w:sz w:val="20"/>
              </w:rPr>
              <w:t xml:space="preserve">.075</w:t>
            </w:r>
          </w:p>
        </w:tc>
      </w:tr>
      <w:tr>
        <w:tc>
          <w:tcPr/>
          <w:p>
            <w:pPr>
              <w:pStyle w:val="Compact"/>
              <w:spacing w:line="240" w:lineRule="auto" w:before="20" w:after="20"/>
              <w:jc w:val="left"/>
            </w:pPr>
            <w:r>
              <w:rPr>
                <w:rFonts w:ascii="Times New Roman" w:hAnsi="Times New Roman"/>
                <w:sz w:val="20"/>
              </w:rPr>
              <w:t xml:space="preserve">2-Factor (POP+CONT, ROA)</w:t>
            </w:r>
          </w:p>
        </w:tc>
        <w:tc>
          <w:tcPr/>
          <w:p>
            <w:pPr>
              <w:pStyle w:val="Compact"/>
              <w:spacing w:line="240" w:lineRule="auto" w:before="20" w:after="20"/>
              <w:jc w:val="left"/>
            </w:pPr>
            <w:r>
              <w:rPr>
                <w:rFonts w:ascii="Times New Roman" w:hAnsi="Times New Roman"/>
                <w:sz w:val="20"/>
              </w:rPr>
              <w:t xml:space="preserve">49.48</w:t>
            </w:r>
          </w:p>
        </w:tc>
        <w:tc>
          <w:tcPr/>
          <w:p>
            <w:pPr>
              <w:pStyle w:val="Compact"/>
              <w:spacing w:line="240" w:lineRule="auto" w:before="20" w:after="20"/>
              <w:jc w:val="left"/>
            </w:pPr>
            <w:r>
              <w:rPr>
                <w:rFonts w:ascii="Times New Roman" w:hAnsi="Times New Roman"/>
                <w:sz w:val="20"/>
              </w:rPr>
              <w:t xml:space="preserve">26</w:t>
            </w:r>
          </w:p>
        </w:tc>
        <w:tc>
          <w:tcPr/>
          <w:p>
            <w:pPr>
              <w:pStyle w:val="Compact"/>
              <w:spacing w:line="240" w:lineRule="auto" w:before="20" w:after="20"/>
              <w:jc w:val="left"/>
            </w:pPr>
            <w:r>
              <w:rPr>
                <w:rFonts w:ascii="Times New Roman" w:hAnsi="Times New Roman"/>
                <w:sz w:val="20"/>
              </w:rPr>
              <w:t xml:space="preserve">.956</w:t>
            </w:r>
          </w:p>
        </w:tc>
        <w:tc>
          <w:tcPr/>
          <w:p>
            <w:pPr>
              <w:pStyle w:val="Compact"/>
              <w:spacing w:line="240" w:lineRule="auto" w:before="20" w:after="20"/>
              <w:jc w:val="left"/>
            </w:pPr>
            <w:r>
              <w:rPr>
                <w:rFonts w:ascii="Times New Roman" w:hAnsi="Times New Roman"/>
                <w:sz w:val="20"/>
              </w:rPr>
              <w:t xml:space="preserve">.940</w:t>
            </w:r>
          </w:p>
        </w:tc>
        <w:tc>
          <w:tcPr/>
          <w:p>
            <w:pPr>
              <w:pStyle w:val="Compact"/>
              <w:spacing w:line="240" w:lineRule="auto" w:before="20" w:after="20"/>
              <w:jc w:val="left"/>
            </w:pPr>
            <w:r>
              <w:rPr>
                <w:rFonts w:ascii="Times New Roman" w:hAnsi="Times New Roman"/>
                <w:sz w:val="20"/>
              </w:rPr>
              <w:t xml:space="preserve">.057</w:t>
            </w:r>
          </w:p>
        </w:tc>
        <w:tc>
          <w:tcPr/>
          <w:p>
            <w:pPr>
              <w:pStyle w:val="Compact"/>
              <w:spacing w:line="240" w:lineRule="auto" w:before="20" w:after="20"/>
              <w:jc w:val="left"/>
            </w:pPr>
            <w:r>
              <w:rPr>
                <w:rFonts w:ascii="Times New Roman" w:hAnsi="Times New Roman"/>
                <w:sz w:val="20"/>
              </w:rPr>
              <w:t xml:space="preserve">[.032, .081]</w:t>
            </w:r>
          </w:p>
        </w:tc>
        <w:tc>
          <w:tcPr/>
          <w:p>
            <w:pPr>
              <w:pStyle w:val="Compact"/>
              <w:spacing w:line="240" w:lineRule="auto" w:before="20" w:after="20"/>
              <w:jc w:val="left"/>
            </w:pPr>
            <w:r>
              <w:rPr>
                <w:rFonts w:ascii="Times New Roman" w:hAnsi="Times New Roman"/>
                <w:sz w:val="20"/>
              </w:rPr>
              <w:t xml:space="preserve">.066</w:t>
            </w:r>
          </w:p>
        </w:tc>
      </w:tr>
      <w:tr>
        <w:tc>
          <w:tcPr/>
          <w:p>
            <w:pPr>
              <w:pStyle w:val="Compact"/>
              <w:spacing w:line="240" w:lineRule="auto" w:before="20" w:after="20"/>
              <w:jc w:val="left"/>
            </w:pPr>
            <w:r>
              <w:rPr>
                <w:rFonts w:ascii="Times New Roman" w:hAnsi="Times New Roman"/>
                <w:sz w:val="20"/>
              </w:rPr>
              <w:t xml:space="preserve">3-Factor (POP, ROA, CONT)</w:t>
            </w:r>
          </w:p>
        </w:tc>
        <w:tc>
          <w:tcPr/>
          <w:p>
            <w:pPr>
              <w:pStyle w:val="Compact"/>
              <w:spacing w:line="240" w:lineRule="auto" w:before="20" w:after="20"/>
              <w:jc w:val="left"/>
            </w:pPr>
            <w:r>
              <w:rPr>
                <w:rFonts w:ascii="Times New Roman" w:hAnsi="Times New Roman"/>
                <w:sz w:val="20"/>
              </w:rPr>
              <w:t xml:space="preserve">24.78</w:t>
            </w:r>
          </w:p>
        </w:tc>
        <w:tc>
          <w:tcPr/>
          <w:p>
            <w:pPr>
              <w:pStyle w:val="Compact"/>
              <w:spacing w:line="240" w:lineRule="auto" w:before="20" w:after="20"/>
              <w:jc w:val="left"/>
            </w:pPr>
            <w:r>
              <w:rPr>
                <w:rFonts w:ascii="Times New Roman" w:hAnsi="Times New Roman"/>
                <w:sz w:val="20"/>
              </w:rPr>
              <w:t xml:space="preserve">24</w:t>
            </w:r>
          </w:p>
        </w:tc>
        <w:tc>
          <w:tcPr/>
          <w:p>
            <w:pPr>
              <w:pStyle w:val="Compact"/>
              <w:spacing w:line="240" w:lineRule="auto" w:before="20" w:after="20"/>
              <w:jc w:val="left"/>
            </w:pPr>
            <w:r>
              <w:rPr>
                <w:rFonts w:ascii="Times New Roman" w:hAnsi="Times New Roman"/>
                <w:sz w:val="20"/>
              </w:rPr>
              <w:t xml:space="preserve">.999</w:t>
            </w:r>
          </w:p>
        </w:tc>
        <w:tc>
          <w:tcPr/>
          <w:p>
            <w:pPr>
              <w:pStyle w:val="Compact"/>
              <w:spacing w:line="240" w:lineRule="auto" w:before="20" w:after="20"/>
              <w:jc w:val="left"/>
            </w:pPr>
            <w:r>
              <w:rPr>
                <w:rFonts w:ascii="Times New Roman" w:hAnsi="Times New Roman"/>
                <w:sz w:val="20"/>
              </w:rPr>
              <w:t xml:space="preserve">.998</w:t>
            </w:r>
          </w:p>
        </w:tc>
        <w:tc>
          <w:tcPr/>
          <w:p>
            <w:pPr>
              <w:pStyle w:val="Compact"/>
              <w:spacing w:line="240" w:lineRule="auto" w:before="20" w:after="20"/>
              <w:jc w:val="left"/>
            </w:pPr>
            <w:r>
              <w:rPr>
                <w:rFonts w:ascii="Times New Roman" w:hAnsi="Times New Roman"/>
                <w:sz w:val="20"/>
              </w:rPr>
              <w:t xml:space="preserve">.011</w:t>
            </w:r>
          </w:p>
        </w:tc>
        <w:tc>
          <w:tcPr/>
          <w:p>
            <w:pPr>
              <w:pStyle w:val="Compact"/>
              <w:spacing w:line="240" w:lineRule="auto" w:before="20" w:after="20"/>
              <w:jc w:val="left"/>
            </w:pPr>
            <w:r>
              <w:rPr>
                <w:rFonts w:ascii="Times New Roman" w:hAnsi="Times New Roman"/>
                <w:sz w:val="20"/>
              </w:rPr>
              <w:t xml:space="preserve">[.000, .051]</w:t>
            </w:r>
          </w:p>
        </w:tc>
        <w:tc>
          <w:tcPr/>
          <w:p>
            <w:pPr>
              <w:pStyle w:val="Compact"/>
              <w:spacing w:line="240" w:lineRule="auto" w:before="20" w:after="20"/>
              <w:jc w:val="left"/>
            </w:pPr>
            <w:r>
              <w:rPr>
                <w:rFonts w:ascii="Times New Roman" w:hAnsi="Times New Roman"/>
                <w:sz w:val="20"/>
              </w:rPr>
              <w:t xml:space="preserve">.048</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WLSMV = weighted least squares mean and variance adjusted. All items treated as ordered categorical. The 2-factor model groups POP and CONT items on a single factor with ROA on a separate factor. Chi-square values are mean-and-variance adjusted (WLSMV). Nested model comparisons require the DIFFTEST procedure rather than standard chi-square difference tests. All</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&lt; .001 except the three-factor model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 .418).</w:t>
      </w:r>
    </w:p>
    <w:p>
      <w:pPr>
        <w:pStyle w:val="BodyText"/>
        <w:spacing w:line="480" w:lineRule="auto"/>
      </w:pPr>
      <w:r>
        <w:rPr>
          <w:rFonts w:ascii="Times New Roman" w:hAnsi="Times New Roman"/>
        </w:rPr>
        <w:t xml:space="preserve">The near-perfect global fit of the three-factor model reflects the</w:t>
      </w:r>
      <w:r>
        <w:rPr>
          <w:rFonts w:ascii="Times New Roman" w:hAnsi="Times New Roman"/>
        </w:rPr>
        <w:t xml:space="preserve"> </w:t>
      </w:r>
      <w:r>
        <w:rPr>
          <w:rFonts w:ascii="Times New Roman" w:hAnsi="Times New Roman"/>
        </w:rPr>
        <w:t xml:space="preserve">small item set (nine items in three just-identified three-indicator</w:t>
      </w:r>
      <w:r>
        <w:rPr>
          <w:rFonts w:ascii="Times New Roman" w:hAnsi="Times New Roman"/>
        </w:rPr>
        <w:t xml:space="preserve"> </w:t>
      </w:r>
      <w:r>
        <w:rPr>
          <w:rFonts w:ascii="Times New Roman" w:hAnsi="Times New Roman"/>
        </w:rPr>
        <w:t xml:space="preserve">factors) and should be interpreted alongside local fit diagnostics:</w:t>
      </w:r>
      <w:r>
        <w:rPr>
          <w:rFonts w:ascii="Times New Roman" w:hAnsi="Times New Roman"/>
        </w:rPr>
        <w:t xml:space="preserve"> </w:t>
      </w:r>
      <w:r>
        <w:rPr>
          <w:rFonts w:ascii="Times New Roman" w:hAnsi="Times New Roman"/>
        </w:rPr>
        <w:t xml:space="preserve">the largest modification index was 7.35 (below the threshold of</w:t>
      </w:r>
      <w:r>
        <w:rPr>
          <w:rFonts w:ascii="Times New Roman" w:hAnsi="Times New Roman"/>
        </w:rPr>
        <w:t xml:space="preserve"> </w:t>
      </w:r>
      <w:r>
        <w:rPr>
          <w:rFonts w:ascii="Times New Roman" w:hAnsi="Times New Roman"/>
        </w:rPr>
        <w:t xml:space="preserve">10), and standardized residual correlations were small (|r| ≤</w:t>
      </w:r>
      <w:r>
        <w:rPr>
          <w:rFonts w:ascii="Times New Roman" w:hAnsi="Times New Roman"/>
        </w:rPr>
        <w:t xml:space="preserve"> </w:t>
      </w:r>
      <w:r>
        <w:rPr>
          <w:rFonts w:ascii="Times New Roman" w:hAnsi="Times New Roman"/>
        </w:rPr>
        <w:t xml:space="preserve">.13). With only</w:t>
      </w:r>
      <w:r>
        <w:rPr>
          <w:rFonts w:ascii="Times New Roman" w:hAnsi="Times New Roman"/>
        </w:rPr>
        <w:t xml:space="preserve"> </w:t>
      </w:r>
      <w:r>
        <w:rPr>
          <w:iCs/>
          <w:rFonts w:ascii="Times New Roman" w:hAnsi="Times New Roman"/>
          <w:i/>
        </w:rPr>
        <w:t xml:space="preserve">df</w:t>
      </w:r>
      <w:r>
        <w:rPr>
          <w:rFonts w:ascii="Times New Roman" w:hAnsi="Times New Roman"/>
        </w:rPr>
        <w:t xml:space="preserve"> </w:t>
      </w:r>
      <w:r>
        <w:rPr>
          <w:rFonts w:ascii="Times New Roman" w:hAnsi="Times New Roman"/>
        </w:rPr>
        <w:t xml:space="preserve">= 24 for the three-factor model (9 items, 3</w:t>
      </w:r>
      <w:r>
        <w:rPr>
          <w:rFonts w:ascii="Times New Roman" w:hAnsi="Times New Roman"/>
        </w:rPr>
        <w:t xml:space="preserve"> </w:t>
      </w:r>
      <w:r>
        <w:rPr>
          <w:rFonts w:ascii="Times New Roman" w:hAnsi="Times New Roman"/>
        </w:rPr>
        <w:t xml:space="preserve">factors, 24 free parameters against 45 observed statistics), there</w:t>
      </w:r>
      <w:r>
        <w:rPr>
          <w:rFonts w:ascii="Times New Roman" w:hAnsi="Times New Roman"/>
        </w:rPr>
        <w:t xml:space="preserve"> </w:t>
      </w:r>
      <w:r>
        <w:rPr>
          <w:rFonts w:ascii="Times New Roman" w:hAnsi="Times New Roman"/>
        </w:rPr>
        <w:t xml:space="preserve">is minimal room for misfit; the near-unity CFI is therefore a</w:t>
      </w:r>
      <w:r>
        <w:rPr>
          <w:rFonts w:ascii="Times New Roman" w:hAnsi="Times New Roman"/>
        </w:rPr>
        <w:t xml:space="preserve"> </w:t>
      </w:r>
      <w:r>
        <w:rPr>
          <w:rFonts w:ascii="Times New Roman" w:hAnsi="Times New Roman"/>
        </w:rPr>
        <w:t xml:space="preserve">structural consequence of the low-</w:t>
      </w:r>
      <w:r>
        <w:rPr>
          <w:iCs/>
          <w:rFonts w:ascii="Times New Roman" w:hAnsi="Times New Roman"/>
          <w:i/>
        </w:rPr>
        <w:t xml:space="preserve">df</w:t>
      </w:r>
      <w:r>
        <w:rPr>
          <w:rFonts w:ascii="Times New Roman" w:hAnsi="Times New Roman"/>
        </w:rPr>
        <w:t xml:space="preserve"> </w:t>
      </w:r>
      <w:r>
        <w:rPr>
          <w:rFonts w:ascii="Times New Roman" w:hAnsi="Times New Roman"/>
        </w:rPr>
        <w:t xml:space="preserve">specification rather than</w:t>
      </w:r>
      <w:r>
        <w:rPr>
          <w:rFonts w:ascii="Times New Roman" w:hAnsi="Times New Roman"/>
        </w:rPr>
        <w:t xml:space="preserve"> </w:t>
      </w:r>
      <w:r>
        <w:rPr>
          <w:rFonts w:ascii="Times New Roman" w:hAnsi="Times New Roman"/>
        </w:rPr>
        <w:t xml:space="preserve">evidence of an unusually well-fitting model. These results confirm</w:t>
      </w:r>
      <w:r>
        <w:rPr>
          <w:rFonts w:ascii="Times New Roman" w:hAnsi="Times New Roman"/>
        </w:rPr>
        <w:t xml:space="preserve"> </w:t>
      </w:r>
      <w:r>
        <w:rPr>
          <w:rFonts w:ascii="Times New Roman" w:hAnsi="Times New Roman"/>
        </w:rPr>
        <w:t xml:space="preserve">that the Czech adaptation preserves the theorized three-level</w:t>
      </w:r>
      <w:r>
        <w:rPr>
          <w:rFonts w:ascii="Times New Roman" w:hAnsi="Times New Roman"/>
        </w:rPr>
        <w:t xml:space="preserve"> </w:t>
      </w:r>
      <w:r>
        <w:rPr>
          <w:rFonts w:ascii="Times New Roman" w:hAnsi="Times New Roman"/>
        </w:rPr>
        <w:t xml:space="preserve">structure of the original German instrument.</w:t>
      </w:r>
    </w:p>
    <w:p>
      <w:pPr>
        <w:pStyle w:val="BodyText"/>
        <w:spacing w:line="480" w:lineRule="auto"/>
      </w:pPr>
      <w:r>
        <w:rPr>
          <w:rFonts w:ascii="Times New Roman" w:hAnsi="Times New Roman"/>
        </w:rPr>
        <w:t xml:space="preserve">Inter-factor correlations from the three-factor CFA were: POP–ROA Φ = .377, POP–CONT Φ = .509, ROA–CONT Φ = .631. These moderate-to-strong correlations indicate meaningful associations among the HPT dimensions, with ROA and CONT showing the strongest link. Discriminant validity is supported since all inter-factor correlations are below .85, confirming that the three subscales capture related but distinct aspects of historical perspective taking.</w:t>
      </w:r>
    </w:p>
    <w:p>
      <w:pPr>
        <w:pStyle w:val="BodyText"/>
        <w:spacing w:line="480" w:lineRule="auto"/>
      </w:pPr>
      <w:r>
        <w:rPr>
          <w:rFonts w:ascii="Times New Roman" w:hAnsi="Times New Roman"/>
        </w:rPr>
        <w:t xml:space="preserve">A supplementary bifactor model (one general factor, three specific factors) fit well (χ² = 14.70,</w:t>
      </w:r>
      <w:r>
        <w:rPr>
          <w:rFonts w:ascii="Times New Roman" w:hAnsi="Times New Roman"/>
        </w:rPr>
        <w:t xml:space="preserve"> </w:t>
      </w:r>
      <w:r>
        <w:rPr>
          <w:iCs/>
          <w:rFonts w:ascii="Times New Roman" w:hAnsi="Times New Roman"/>
          <w:i/>
        </w:rPr>
        <w:t xml:space="preserve">df</w:t>
      </w:r>
      <w:r>
        <w:rPr>
          <w:rFonts w:ascii="Times New Roman" w:hAnsi="Times New Roman"/>
        </w:rPr>
        <w:t xml:space="preserve"> </w:t>
      </w:r>
      <w:r>
        <w:rPr>
          <w:rFonts w:ascii="Times New Roman" w:hAnsi="Times New Roman"/>
        </w:rPr>
        <w:t xml:space="preserve">= 18,</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 .682) but did not meaningfully improve over the correlated three-factor model (ΔCFI = .001). CONT items loaded primarily on the general factor (.47–.63), while POP and ROA retained meaningful specific factor variance, supporting subscale-level interpretation.</w:t>
      </w:r>
    </w:p>
    <w:bookmarkEnd w:id="38"/>
    <w:bookmarkStart w:id="39" w:name="standardized-factor-loadings"/>
    <w:p>
      <w:pPr>
        <w:pStyle w:val="Heading3"/>
        <w:spacing w:line="480" w:lineRule="auto"/>
      </w:pPr>
      <w:r>
        <w:rPr>
          <w:rFonts w:ascii="Times New Roman" w:hAnsi="Times New Roman"/>
        </w:rPr>
        <w:t xml:space="preserve">4.2 Standardized Factor Loadings</w:t>
      </w:r>
    </w:p>
    <w:p>
      <w:pPr>
        <w:pStyle w:val="FirstParagraph"/>
        <w:spacing w:line="480" w:lineRule="auto"/>
      </w:pPr>
      <w:r>
        <w:rPr>
          <w:rFonts w:ascii="Times New Roman" w:hAnsi="Times New Roman"/>
        </w:rPr>
        <w:t xml:space="preserve">Table 2 presents the standardized loadings from the three-factor CFA. CONT items loaded most strongly (.61–.72), followed by POP items (.30–.74) and ROA items (.30–.67). POP2 showed the weakest loading (.30), at the conventional minimum threshold for item retention; it was retained to preserve fidelity to the original instrument structure. The range of loadings across subscales reflects the heterogeneity within each three-item set and is consistent with patterns reported in prior validations of short-form instruments.</w:t>
      </w:r>
    </w:p>
    <w:p>
      <w:pPr>
        <w:pStyle w:val="BodyText"/>
        <w:spacing w:line="480" w:lineRule="auto"/>
      </w:pPr>
      <w:r>
        <w:rPr>
          <w:bCs/>
          <w:rFonts w:ascii="Times New Roman" w:hAnsi="Times New Roman"/>
          <w:b/>
        </w:rPr>
        <w:t xml:space="preserve">Table 2.</w:t>
      </w:r>
      <w:r>
        <w:rPr>
          <w:rFonts w:ascii="Times New Roman" w:hAnsi="Times New Roman"/>
        </w:rPr>
        <w:t xml:space="preserve"> </w:t>
      </w:r>
      <w:r>
        <w:rPr>
          <w:iCs/>
          <w:rFonts w:ascii="Times New Roman" w:hAnsi="Times New Roman"/>
          <w:i/>
        </w:rPr>
        <w:t xml:space="preserve">Standardized Factor Loadings for the Three-Factor HPT Model</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584"/>
        <w:gridCol w:w="1584"/>
        <w:gridCol w:w="1584"/>
        <w:gridCol w:w="1584"/>
        <w:gridCol w:w="1584"/>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Item</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Subscale</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Loading</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SE</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95% CI</w:t>
            </w:r>
          </w:p>
        </w:tc>
      </w:tr>
      <w:tr>
        <w:tc>
          <w:tcPr/>
          <w:p>
            <w:pPr>
              <w:pStyle w:val="Compact"/>
              <w:spacing w:line="240" w:lineRule="auto" w:before="20" w:after="20"/>
              <w:jc w:val="left"/>
            </w:pPr>
            <w:r>
              <w:rPr>
                <w:rFonts w:ascii="Times New Roman" w:hAnsi="Times New Roman"/>
                <w:sz w:val="20"/>
              </w:rPr>
              <w:t xml:space="preserve">POP1</w:t>
            </w:r>
          </w:p>
        </w:tc>
        <w:tc>
          <w:tcPr/>
          <w:p>
            <w:pPr>
              <w:pStyle w:val="Compact"/>
              <w:spacing w:line="240" w:lineRule="auto" w:before="20" w:after="20"/>
              <w:jc w:val="left"/>
            </w:pPr>
            <w:r>
              <w:rPr>
                <w:rFonts w:ascii="Times New Roman" w:hAnsi="Times New Roman"/>
                <w:sz w:val="20"/>
              </w:rPr>
              <w:t xml:space="preserve">Presentism</w:t>
            </w:r>
          </w:p>
        </w:tc>
        <w:tc>
          <w:tcPr/>
          <w:p>
            <w:pPr>
              <w:pStyle w:val="Compact"/>
              <w:spacing w:line="240" w:lineRule="auto" w:before="20" w:after="20"/>
              <w:jc w:val="left"/>
            </w:pPr>
            <w:r>
              <w:rPr>
                <w:rFonts w:ascii="Times New Roman" w:hAnsi="Times New Roman"/>
                <w:sz w:val="20"/>
              </w:rPr>
              <w:t xml:space="preserve">.74</w:t>
            </w:r>
          </w:p>
        </w:tc>
        <w:tc>
          <w:tcPr/>
          <w:p>
            <w:pPr>
              <w:pStyle w:val="Compact"/>
              <w:spacing w:line="240" w:lineRule="auto" w:before="20" w:after="20"/>
              <w:jc w:val="left"/>
            </w:pPr>
            <w:r>
              <w:rPr>
                <w:rFonts w:ascii="Times New Roman" w:hAnsi="Times New Roman"/>
                <w:sz w:val="20"/>
              </w:rPr>
              <w:t xml:space="preserve">.099</w:t>
            </w:r>
          </w:p>
        </w:tc>
        <w:tc>
          <w:tcPr/>
          <w:p>
            <w:pPr>
              <w:pStyle w:val="Compact"/>
              <w:spacing w:line="240" w:lineRule="auto" w:before="20" w:after="20"/>
              <w:jc w:val="left"/>
            </w:pPr>
            <w:r>
              <w:rPr>
                <w:rFonts w:ascii="Times New Roman" w:hAnsi="Times New Roman"/>
                <w:sz w:val="20"/>
              </w:rPr>
              <w:t xml:space="preserve">[.54, .93]</w:t>
            </w:r>
          </w:p>
        </w:tc>
      </w:tr>
      <w:tr>
        <w:tc>
          <w:tcPr/>
          <w:p>
            <w:pPr>
              <w:pStyle w:val="Compact"/>
              <w:spacing w:line="240" w:lineRule="auto" w:before="20" w:after="20"/>
              <w:jc w:val="left"/>
            </w:pPr>
            <w:r>
              <w:rPr>
                <w:rFonts w:ascii="Times New Roman" w:hAnsi="Times New Roman"/>
                <w:sz w:val="20"/>
              </w:rPr>
              <w:t xml:space="preserve">POP2</w:t>
            </w:r>
          </w:p>
        </w:tc>
        <w:tc>
          <w:tcPr/>
          <w:p>
            <w:pPr>
              <w:pStyle w:val="Compact"/>
              <w:spacing w:line="240" w:lineRule="auto" w:before="20" w:after="20"/>
              <w:jc w:val="left"/>
            </w:pPr>
            <w:r>
              <w:rPr>
                <w:rFonts w:ascii="Times New Roman" w:hAnsi="Times New Roman"/>
                <w:sz w:val="20"/>
              </w:rPr>
              <w:t xml:space="preserve">Presentism</w:t>
            </w:r>
          </w:p>
        </w:tc>
        <w:tc>
          <w:tcPr/>
          <w:p>
            <w:pPr>
              <w:pStyle w:val="Compact"/>
              <w:spacing w:line="240" w:lineRule="auto" w:before="20" w:after="20"/>
              <w:jc w:val="left"/>
            </w:pPr>
            <w:r>
              <w:rPr>
                <w:rFonts w:ascii="Times New Roman" w:hAnsi="Times New Roman"/>
                <w:sz w:val="20"/>
              </w:rPr>
              <w:t xml:space="preserve">.30</w:t>
            </w:r>
          </w:p>
        </w:tc>
        <w:tc>
          <w:tcPr/>
          <w:p>
            <w:pPr>
              <w:pStyle w:val="Compact"/>
              <w:spacing w:line="240" w:lineRule="auto" w:before="20" w:after="20"/>
              <w:jc w:val="left"/>
            </w:pPr>
            <w:r>
              <w:rPr>
                <w:rFonts w:ascii="Times New Roman" w:hAnsi="Times New Roman"/>
                <w:sz w:val="20"/>
              </w:rPr>
              <w:t xml:space="preserve">.076</w:t>
            </w:r>
          </w:p>
        </w:tc>
        <w:tc>
          <w:tcPr/>
          <w:p>
            <w:pPr>
              <w:pStyle w:val="Compact"/>
              <w:spacing w:line="240" w:lineRule="auto" w:before="20" w:after="20"/>
              <w:jc w:val="left"/>
            </w:pPr>
            <w:r>
              <w:rPr>
                <w:rFonts w:ascii="Times New Roman" w:hAnsi="Times New Roman"/>
                <w:sz w:val="20"/>
              </w:rPr>
              <w:t xml:space="preserve">[.15, .44]</w:t>
            </w:r>
          </w:p>
        </w:tc>
      </w:tr>
      <w:tr>
        <w:tc>
          <w:tcPr/>
          <w:p>
            <w:pPr>
              <w:pStyle w:val="Compact"/>
              <w:spacing w:line="240" w:lineRule="auto" w:before="20" w:after="20"/>
              <w:jc w:val="left"/>
            </w:pPr>
            <w:r>
              <w:rPr>
                <w:rFonts w:ascii="Times New Roman" w:hAnsi="Times New Roman"/>
                <w:sz w:val="20"/>
              </w:rPr>
              <w:t xml:space="preserve">POP3</w:t>
            </w:r>
          </w:p>
        </w:tc>
        <w:tc>
          <w:tcPr/>
          <w:p>
            <w:pPr>
              <w:pStyle w:val="Compact"/>
              <w:spacing w:line="240" w:lineRule="auto" w:before="20" w:after="20"/>
              <w:jc w:val="left"/>
            </w:pPr>
            <w:r>
              <w:rPr>
                <w:rFonts w:ascii="Times New Roman" w:hAnsi="Times New Roman"/>
                <w:sz w:val="20"/>
              </w:rPr>
              <w:t xml:space="preserve">Presentism</w:t>
            </w:r>
          </w:p>
        </w:tc>
        <w:tc>
          <w:tcPr/>
          <w:p>
            <w:pPr>
              <w:pStyle w:val="Compact"/>
              <w:spacing w:line="240" w:lineRule="auto" w:before="20" w:after="20"/>
              <w:jc w:val="left"/>
            </w:pPr>
            <w:r>
              <w:rPr>
                <w:rFonts w:ascii="Times New Roman" w:hAnsi="Times New Roman"/>
                <w:sz w:val="20"/>
              </w:rPr>
              <w:t xml:space="preserve">.50</w:t>
            </w:r>
          </w:p>
        </w:tc>
        <w:tc>
          <w:tcPr/>
          <w:p>
            <w:pPr>
              <w:pStyle w:val="Compact"/>
              <w:spacing w:line="240" w:lineRule="auto" w:before="20" w:after="20"/>
              <w:jc w:val="left"/>
            </w:pPr>
            <w:r>
              <w:rPr>
                <w:rFonts w:ascii="Times New Roman" w:hAnsi="Times New Roman"/>
                <w:sz w:val="20"/>
              </w:rPr>
              <w:t xml:space="preserve">.068</w:t>
            </w:r>
          </w:p>
        </w:tc>
        <w:tc>
          <w:tcPr/>
          <w:p>
            <w:pPr>
              <w:pStyle w:val="Compact"/>
              <w:spacing w:line="240" w:lineRule="auto" w:before="20" w:after="20"/>
              <w:jc w:val="left"/>
            </w:pPr>
            <w:r>
              <w:rPr>
                <w:rFonts w:ascii="Times New Roman" w:hAnsi="Times New Roman"/>
                <w:sz w:val="20"/>
              </w:rPr>
              <w:t xml:space="preserve">[.37, .63]</w:t>
            </w:r>
          </w:p>
        </w:tc>
      </w:tr>
      <w:tr>
        <w:tc>
          <w:tcPr/>
          <w:p>
            <w:pPr>
              <w:pStyle w:val="Compact"/>
              <w:spacing w:line="240" w:lineRule="auto" w:before="20" w:after="20"/>
              <w:jc w:val="left"/>
            </w:pPr>
            <w:r>
              <w:rPr>
                <w:rFonts w:ascii="Times New Roman" w:hAnsi="Times New Roman"/>
                <w:sz w:val="20"/>
              </w:rPr>
              <w:t xml:space="preserve">ROA1</w:t>
            </w:r>
          </w:p>
        </w:tc>
        <w:tc>
          <w:tcPr/>
          <w:p>
            <w:pPr>
              <w:pStyle w:val="Compact"/>
              <w:spacing w:line="240" w:lineRule="auto" w:before="20" w:after="20"/>
              <w:jc w:val="left"/>
            </w:pPr>
            <w:r>
              <w:rPr>
                <w:rFonts w:ascii="Times New Roman" w:hAnsi="Times New Roman"/>
                <w:sz w:val="20"/>
              </w:rPr>
              <w:t xml:space="preserve">Recognition of Agent</w:t>
            </w:r>
          </w:p>
        </w:tc>
        <w:tc>
          <w:tcPr/>
          <w:p>
            <w:pPr>
              <w:pStyle w:val="Compact"/>
              <w:spacing w:line="240" w:lineRule="auto" w:before="20" w:after="20"/>
              <w:jc w:val="left"/>
            </w:pPr>
            <w:r>
              <w:rPr>
                <w:rFonts w:ascii="Times New Roman" w:hAnsi="Times New Roman"/>
                <w:sz w:val="20"/>
              </w:rPr>
              <w:t xml:space="preserve">.61</w:t>
            </w:r>
          </w:p>
        </w:tc>
        <w:tc>
          <w:tcPr/>
          <w:p>
            <w:pPr>
              <w:pStyle w:val="Compact"/>
              <w:spacing w:line="240" w:lineRule="auto" w:before="20" w:after="20"/>
              <w:jc w:val="left"/>
            </w:pPr>
            <w:r>
              <w:rPr>
                <w:rFonts w:ascii="Times New Roman" w:hAnsi="Times New Roman"/>
                <w:sz w:val="20"/>
              </w:rPr>
              <w:t xml:space="preserve">.071</w:t>
            </w:r>
          </w:p>
        </w:tc>
        <w:tc>
          <w:tcPr/>
          <w:p>
            <w:pPr>
              <w:pStyle w:val="Compact"/>
              <w:spacing w:line="240" w:lineRule="auto" w:before="20" w:after="20"/>
              <w:jc w:val="left"/>
            </w:pPr>
            <w:r>
              <w:rPr>
                <w:rFonts w:ascii="Times New Roman" w:hAnsi="Times New Roman"/>
                <w:sz w:val="20"/>
              </w:rPr>
              <w:t xml:space="preserve">[.47, .75]</w:t>
            </w:r>
          </w:p>
        </w:tc>
      </w:tr>
      <w:tr>
        <w:tc>
          <w:tcPr/>
          <w:p>
            <w:pPr>
              <w:pStyle w:val="Compact"/>
              <w:spacing w:line="240" w:lineRule="auto" w:before="20" w:after="20"/>
              <w:jc w:val="left"/>
            </w:pPr>
            <w:r>
              <w:rPr>
                <w:rFonts w:ascii="Times New Roman" w:hAnsi="Times New Roman"/>
                <w:sz w:val="20"/>
              </w:rPr>
              <w:t xml:space="preserve">ROA2</w:t>
            </w:r>
          </w:p>
        </w:tc>
        <w:tc>
          <w:tcPr/>
          <w:p>
            <w:pPr>
              <w:pStyle w:val="Compact"/>
              <w:spacing w:line="240" w:lineRule="auto" w:before="20" w:after="20"/>
              <w:jc w:val="left"/>
            </w:pPr>
            <w:r>
              <w:rPr>
                <w:rFonts w:ascii="Times New Roman" w:hAnsi="Times New Roman"/>
                <w:sz w:val="20"/>
              </w:rPr>
              <w:t xml:space="preserve">Recognition of Agent</w:t>
            </w:r>
          </w:p>
        </w:tc>
        <w:tc>
          <w:tcPr/>
          <w:p>
            <w:pPr>
              <w:pStyle w:val="Compact"/>
              <w:spacing w:line="240" w:lineRule="auto" w:before="20" w:after="20"/>
              <w:jc w:val="left"/>
            </w:pPr>
            <w:r>
              <w:rPr>
                <w:rFonts w:ascii="Times New Roman" w:hAnsi="Times New Roman"/>
                <w:sz w:val="20"/>
              </w:rPr>
              <w:t xml:space="preserve">.30</w:t>
            </w:r>
          </w:p>
        </w:tc>
        <w:tc>
          <w:tcPr/>
          <w:p>
            <w:pPr>
              <w:pStyle w:val="Compact"/>
              <w:spacing w:line="240" w:lineRule="auto" w:before="20" w:after="20"/>
              <w:jc w:val="left"/>
            </w:pPr>
            <w:r>
              <w:rPr>
                <w:rFonts w:ascii="Times New Roman" w:hAnsi="Times New Roman"/>
                <w:sz w:val="20"/>
              </w:rPr>
              <w:t xml:space="preserve">.074</w:t>
            </w:r>
          </w:p>
        </w:tc>
        <w:tc>
          <w:tcPr/>
          <w:p>
            <w:pPr>
              <w:pStyle w:val="Compact"/>
              <w:spacing w:line="240" w:lineRule="auto" w:before="20" w:after="20"/>
              <w:jc w:val="left"/>
            </w:pPr>
            <w:r>
              <w:rPr>
                <w:rFonts w:ascii="Times New Roman" w:hAnsi="Times New Roman"/>
                <w:sz w:val="20"/>
              </w:rPr>
              <w:t xml:space="preserve">[.15, .44]</w:t>
            </w:r>
          </w:p>
        </w:tc>
      </w:tr>
      <w:tr>
        <w:tc>
          <w:tcPr/>
          <w:p>
            <w:pPr>
              <w:pStyle w:val="Compact"/>
              <w:spacing w:line="240" w:lineRule="auto" w:before="20" w:after="20"/>
              <w:jc w:val="left"/>
            </w:pPr>
            <w:r>
              <w:rPr>
                <w:rFonts w:ascii="Times New Roman" w:hAnsi="Times New Roman"/>
                <w:sz w:val="20"/>
              </w:rPr>
              <w:t xml:space="preserve">ROA3</w:t>
            </w:r>
          </w:p>
        </w:tc>
        <w:tc>
          <w:tcPr/>
          <w:p>
            <w:pPr>
              <w:pStyle w:val="Compact"/>
              <w:spacing w:line="240" w:lineRule="auto" w:before="20" w:after="20"/>
              <w:jc w:val="left"/>
            </w:pPr>
            <w:r>
              <w:rPr>
                <w:rFonts w:ascii="Times New Roman" w:hAnsi="Times New Roman"/>
                <w:sz w:val="20"/>
              </w:rPr>
              <w:t xml:space="preserve">Recognition of Agent</w:t>
            </w:r>
          </w:p>
        </w:tc>
        <w:tc>
          <w:tcPr/>
          <w:p>
            <w:pPr>
              <w:pStyle w:val="Compact"/>
              <w:spacing w:line="240" w:lineRule="auto" w:before="20" w:after="20"/>
              <w:jc w:val="left"/>
            </w:pPr>
            <w:r>
              <w:rPr>
                <w:rFonts w:ascii="Times New Roman" w:hAnsi="Times New Roman"/>
                <w:sz w:val="20"/>
              </w:rPr>
              <w:t xml:space="preserve">.67</w:t>
            </w:r>
          </w:p>
        </w:tc>
        <w:tc>
          <w:tcPr/>
          <w:p>
            <w:pPr>
              <w:pStyle w:val="Compact"/>
              <w:spacing w:line="240" w:lineRule="auto" w:before="20" w:after="20"/>
              <w:jc w:val="left"/>
            </w:pPr>
            <w:r>
              <w:rPr>
                <w:rFonts w:ascii="Times New Roman" w:hAnsi="Times New Roman"/>
                <w:sz w:val="20"/>
              </w:rPr>
              <w:t xml:space="preserve">.074</w:t>
            </w:r>
          </w:p>
        </w:tc>
        <w:tc>
          <w:tcPr/>
          <w:p>
            <w:pPr>
              <w:pStyle w:val="Compact"/>
              <w:spacing w:line="240" w:lineRule="auto" w:before="20" w:after="20"/>
              <w:jc w:val="left"/>
            </w:pPr>
            <w:r>
              <w:rPr>
                <w:rFonts w:ascii="Times New Roman" w:hAnsi="Times New Roman"/>
                <w:sz w:val="20"/>
              </w:rPr>
              <w:t xml:space="preserve">[.53, .82]</w:t>
            </w:r>
          </w:p>
        </w:tc>
      </w:tr>
      <w:tr>
        <w:tc>
          <w:tcPr/>
          <w:p>
            <w:pPr>
              <w:pStyle w:val="Compact"/>
              <w:spacing w:line="240" w:lineRule="auto" w:before="20" w:after="20"/>
              <w:jc w:val="left"/>
            </w:pPr>
            <w:r>
              <w:rPr>
                <w:rFonts w:ascii="Times New Roman" w:hAnsi="Times New Roman"/>
                <w:sz w:val="20"/>
              </w:rPr>
              <w:t xml:space="preserve">CONT1</w:t>
            </w:r>
          </w:p>
        </w:tc>
        <w:tc>
          <w:tcPr/>
          <w:p>
            <w:pPr>
              <w:pStyle w:val="Compact"/>
              <w:spacing w:line="240" w:lineRule="auto" w:before="20" w:after="20"/>
              <w:jc w:val="left"/>
            </w:pPr>
            <w:r>
              <w:rPr>
                <w:rFonts w:ascii="Times New Roman" w:hAnsi="Times New Roman"/>
                <w:sz w:val="20"/>
              </w:rPr>
              <w:t xml:space="preserve">Contextualization</w:t>
            </w:r>
          </w:p>
        </w:tc>
        <w:tc>
          <w:tcPr/>
          <w:p>
            <w:pPr>
              <w:pStyle w:val="Compact"/>
              <w:spacing w:line="240" w:lineRule="auto" w:before="20" w:after="20"/>
              <w:jc w:val="left"/>
            </w:pPr>
            <w:r>
              <w:rPr>
                <w:rFonts w:ascii="Times New Roman" w:hAnsi="Times New Roman"/>
                <w:sz w:val="20"/>
              </w:rPr>
              <w:t xml:space="preserve">.72</w:t>
            </w:r>
          </w:p>
        </w:tc>
        <w:tc>
          <w:tcPr/>
          <w:p>
            <w:pPr>
              <w:pStyle w:val="Compact"/>
              <w:spacing w:line="240" w:lineRule="auto" w:before="20" w:after="20"/>
              <w:jc w:val="left"/>
            </w:pPr>
            <w:r>
              <w:rPr>
                <w:rFonts w:ascii="Times New Roman" w:hAnsi="Times New Roman"/>
                <w:sz w:val="20"/>
              </w:rPr>
              <w:t xml:space="preserve">.055</w:t>
            </w:r>
          </w:p>
        </w:tc>
        <w:tc>
          <w:tcPr/>
          <w:p>
            <w:pPr>
              <w:pStyle w:val="Compact"/>
              <w:spacing w:line="240" w:lineRule="auto" w:before="20" w:after="20"/>
              <w:jc w:val="left"/>
            </w:pPr>
            <w:r>
              <w:rPr>
                <w:rFonts w:ascii="Times New Roman" w:hAnsi="Times New Roman"/>
                <w:sz w:val="20"/>
              </w:rPr>
              <w:t xml:space="preserve">[.61, .82]</w:t>
            </w:r>
          </w:p>
        </w:tc>
      </w:tr>
      <w:tr>
        <w:tc>
          <w:tcPr/>
          <w:p>
            <w:pPr>
              <w:pStyle w:val="Compact"/>
              <w:spacing w:line="240" w:lineRule="auto" w:before="20" w:after="20"/>
              <w:jc w:val="left"/>
            </w:pPr>
            <w:r>
              <w:rPr>
                <w:rFonts w:ascii="Times New Roman" w:hAnsi="Times New Roman"/>
                <w:sz w:val="20"/>
              </w:rPr>
              <w:t xml:space="preserve">CONT2</w:t>
            </w:r>
          </w:p>
        </w:tc>
        <w:tc>
          <w:tcPr/>
          <w:p>
            <w:pPr>
              <w:pStyle w:val="Compact"/>
              <w:spacing w:line="240" w:lineRule="auto" w:before="20" w:after="20"/>
              <w:jc w:val="left"/>
            </w:pPr>
            <w:r>
              <w:rPr>
                <w:rFonts w:ascii="Times New Roman" w:hAnsi="Times New Roman"/>
                <w:sz w:val="20"/>
              </w:rPr>
              <w:t xml:space="preserve">Contextualization</w:t>
            </w:r>
          </w:p>
        </w:tc>
        <w:tc>
          <w:tcPr/>
          <w:p>
            <w:pPr>
              <w:pStyle w:val="Compact"/>
              <w:spacing w:line="240" w:lineRule="auto" w:before="20" w:after="20"/>
              <w:jc w:val="left"/>
            </w:pPr>
            <w:r>
              <w:rPr>
                <w:rFonts w:ascii="Times New Roman" w:hAnsi="Times New Roman"/>
                <w:sz w:val="20"/>
              </w:rPr>
              <w:t xml:space="preserve">.61</w:t>
            </w:r>
          </w:p>
        </w:tc>
        <w:tc>
          <w:tcPr/>
          <w:p>
            <w:pPr>
              <w:pStyle w:val="Compact"/>
              <w:spacing w:line="240" w:lineRule="auto" w:before="20" w:after="20"/>
              <w:jc w:val="left"/>
            </w:pPr>
            <w:r>
              <w:rPr>
                <w:rFonts w:ascii="Times New Roman" w:hAnsi="Times New Roman"/>
                <w:sz w:val="20"/>
              </w:rPr>
              <w:t xml:space="preserve">.059</w:t>
            </w:r>
          </w:p>
        </w:tc>
        <w:tc>
          <w:tcPr/>
          <w:p>
            <w:pPr>
              <w:pStyle w:val="Compact"/>
              <w:spacing w:line="240" w:lineRule="auto" w:before="20" w:after="20"/>
              <w:jc w:val="left"/>
            </w:pPr>
            <w:r>
              <w:rPr>
                <w:rFonts w:ascii="Times New Roman" w:hAnsi="Times New Roman"/>
                <w:sz w:val="20"/>
              </w:rPr>
              <w:t xml:space="preserve">[.49, .72]</w:t>
            </w:r>
          </w:p>
        </w:tc>
      </w:tr>
      <w:tr>
        <w:tc>
          <w:tcPr/>
          <w:p>
            <w:pPr>
              <w:pStyle w:val="Compact"/>
              <w:spacing w:line="240" w:lineRule="auto" w:before="20" w:after="20"/>
              <w:jc w:val="left"/>
            </w:pPr>
            <w:r>
              <w:rPr>
                <w:rFonts w:ascii="Times New Roman" w:hAnsi="Times New Roman"/>
                <w:sz w:val="20"/>
              </w:rPr>
              <w:t xml:space="preserve">CONT3</w:t>
            </w:r>
          </w:p>
        </w:tc>
        <w:tc>
          <w:tcPr/>
          <w:p>
            <w:pPr>
              <w:pStyle w:val="Compact"/>
              <w:spacing w:line="240" w:lineRule="auto" w:before="20" w:after="20"/>
              <w:jc w:val="left"/>
            </w:pPr>
            <w:r>
              <w:rPr>
                <w:rFonts w:ascii="Times New Roman" w:hAnsi="Times New Roman"/>
                <w:sz w:val="20"/>
              </w:rPr>
              <w:t xml:space="preserve">Contextualization</w:t>
            </w:r>
          </w:p>
        </w:tc>
        <w:tc>
          <w:tcPr/>
          <w:p>
            <w:pPr>
              <w:pStyle w:val="Compact"/>
              <w:spacing w:line="240" w:lineRule="auto" w:before="20" w:after="20"/>
              <w:jc w:val="left"/>
            </w:pPr>
            <w:r>
              <w:rPr>
                <w:rFonts w:ascii="Times New Roman" w:hAnsi="Times New Roman"/>
                <w:sz w:val="20"/>
              </w:rPr>
              <w:t xml:space="preserve">.64</w:t>
            </w:r>
          </w:p>
        </w:tc>
        <w:tc>
          <w:tcPr/>
          <w:p>
            <w:pPr>
              <w:pStyle w:val="Compact"/>
              <w:spacing w:line="240" w:lineRule="auto" w:before="20" w:after="20"/>
              <w:jc w:val="left"/>
            </w:pPr>
            <w:r>
              <w:rPr>
                <w:rFonts w:ascii="Times New Roman" w:hAnsi="Times New Roman"/>
                <w:sz w:val="20"/>
              </w:rPr>
              <w:t xml:space="preserve">.054</w:t>
            </w:r>
          </w:p>
        </w:tc>
        <w:tc>
          <w:tcPr/>
          <w:p>
            <w:pPr>
              <w:pStyle w:val="Compact"/>
              <w:spacing w:line="240" w:lineRule="auto" w:before="20" w:after="20"/>
              <w:jc w:val="left"/>
            </w:pPr>
            <w:r>
              <w:rPr>
                <w:rFonts w:ascii="Times New Roman" w:hAnsi="Times New Roman"/>
                <w:sz w:val="20"/>
              </w:rPr>
              <w:t xml:space="preserve">[.53, .74]</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POP items are reverse-scored (higher = more contextualized reasoning). All loadings significant at</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&lt; .001. WLSMV estimator with items treated as ordered categorical.</w:t>
      </w:r>
    </w:p>
    <w:bookmarkEnd w:id="39"/>
    <w:bookmarkStart w:id="40" w:name="reliability-and-internal-consistency"/>
    <w:p>
      <w:pPr>
        <w:pStyle w:val="Heading3"/>
        <w:spacing w:line="480" w:lineRule="auto"/>
      </w:pPr>
      <w:r>
        <w:rPr>
          <w:rFonts w:ascii="Times New Roman" w:hAnsi="Times New Roman"/>
        </w:rPr>
        <w:t xml:space="preserve">4.3 Reliability and Internal Consistency</w:t>
      </w:r>
    </w:p>
    <w:p>
      <w:pPr>
        <w:pStyle w:val="FirstParagraph"/>
        <w:spacing w:line="480" w:lineRule="auto"/>
      </w:pPr>
      <w:r>
        <w:rPr>
          <w:rFonts w:ascii="Times New Roman" w:hAnsi="Times New Roman"/>
        </w:rPr>
        <w:t xml:space="preserve">Table 3 presents reliability coefficients for each HPT subscale. Raw Cronbach’s α values ranged from .47 (POP) to .64 (CONT); polychoric α (appropriate for ordinal items) ranged from .53 to .69; McDonald’s ω ranged from .55 to .69. CONT demonstrated the strongest reliability, consistent with its highest average factor loadings.</w:t>
      </w:r>
    </w:p>
    <w:p>
      <w:pPr>
        <w:pStyle w:val="BodyText"/>
        <w:spacing w:line="480" w:lineRule="auto"/>
      </w:pPr>
      <w:r>
        <w:rPr>
          <w:bCs/>
          <w:rFonts w:ascii="Times New Roman" w:hAnsi="Times New Roman"/>
          <w:b/>
        </w:rPr>
        <w:t xml:space="preserve">Table 3.</w:t>
      </w:r>
      <w:r>
        <w:rPr>
          <w:rFonts w:ascii="Times New Roman" w:hAnsi="Times New Roman"/>
        </w:rPr>
        <w:t xml:space="preserve"> </w:t>
      </w:r>
      <w:r>
        <w:rPr>
          <w:iCs/>
          <w:rFonts w:ascii="Times New Roman" w:hAnsi="Times New Roman"/>
          <w:i/>
        </w:rPr>
        <w:t xml:space="preserve">Reliability Coefficients for HPT Subscales</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182"/>
        <w:gridCol w:w="827"/>
        <w:gridCol w:w="1063"/>
        <w:gridCol w:w="2364"/>
        <w:gridCol w:w="1063"/>
        <w:gridCol w:w="1418"/>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Subscale</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Items</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α (raw)</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α (polychoric)</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ω total</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Mean rᵢᵢ</w:t>
            </w:r>
          </w:p>
        </w:tc>
      </w:tr>
      <w:tr>
        <w:tc>
          <w:tcPr/>
          <w:p>
            <w:pPr>
              <w:pStyle w:val="Compact"/>
              <w:spacing w:line="240" w:lineRule="auto" w:before="20" w:after="20"/>
              <w:jc w:val="left"/>
            </w:pPr>
            <w:r>
              <w:rPr>
                <w:rFonts w:ascii="Times New Roman" w:hAnsi="Times New Roman"/>
                <w:sz w:val="20"/>
              </w:rPr>
              <w:t xml:space="preserve">POP</w:t>
            </w:r>
          </w:p>
        </w:tc>
        <w:tc>
          <w:tcPr/>
          <w:p>
            <w:pPr>
              <w:pStyle w:val="Compact"/>
              <w:spacing w:line="240" w:lineRule="auto" w:before="20" w:after="20"/>
              <w:jc w:val="left"/>
            </w:pPr>
            <w:r>
              <w:rPr>
                <w:rFonts w:ascii="Times New Roman" w:hAnsi="Times New Roman"/>
                <w:sz w:val="20"/>
              </w:rPr>
              <w:t xml:space="preserve">3</w:t>
            </w:r>
          </w:p>
        </w:tc>
        <w:tc>
          <w:tcPr/>
          <w:p>
            <w:pPr>
              <w:pStyle w:val="Compact"/>
              <w:spacing w:line="240" w:lineRule="auto" w:before="20" w:after="20"/>
              <w:jc w:val="left"/>
            </w:pPr>
            <w:r>
              <w:rPr>
                <w:rFonts w:ascii="Times New Roman" w:hAnsi="Times New Roman"/>
                <w:sz w:val="20"/>
              </w:rPr>
              <w:t xml:space="preserve">.47</w:t>
            </w:r>
          </w:p>
        </w:tc>
        <w:tc>
          <w:tcPr/>
          <w:p>
            <w:pPr>
              <w:pStyle w:val="Compact"/>
              <w:spacing w:line="240" w:lineRule="auto" w:before="20" w:after="20"/>
              <w:jc w:val="left"/>
            </w:pPr>
            <w:r>
              <w:rPr>
                <w:rFonts w:ascii="Times New Roman" w:hAnsi="Times New Roman"/>
                <w:sz w:val="20"/>
              </w:rPr>
              <w:t xml:space="preserve">.53</w:t>
            </w:r>
          </w:p>
        </w:tc>
        <w:tc>
          <w:tcPr/>
          <w:p>
            <w:pPr>
              <w:pStyle w:val="Compact"/>
              <w:spacing w:line="240" w:lineRule="auto" w:before="20" w:after="20"/>
              <w:jc w:val="left"/>
            </w:pPr>
            <w:r>
              <w:rPr>
                <w:rFonts w:ascii="Times New Roman" w:hAnsi="Times New Roman"/>
                <w:sz w:val="20"/>
              </w:rPr>
              <w:t xml:space="preserve">.55</w:t>
            </w:r>
          </w:p>
        </w:tc>
        <w:tc>
          <w:tcPr/>
          <w:p>
            <w:pPr>
              <w:pStyle w:val="Compact"/>
              <w:spacing w:line="240" w:lineRule="auto" w:before="20" w:after="20"/>
              <w:jc w:val="left"/>
            </w:pPr>
            <w:r>
              <w:rPr>
                <w:rFonts w:ascii="Times New Roman" w:hAnsi="Times New Roman"/>
                <w:sz w:val="20"/>
              </w:rPr>
              <w:t xml:space="preserve">.226</w:t>
            </w:r>
          </w:p>
        </w:tc>
      </w:tr>
      <w:tr>
        <w:tc>
          <w:tcPr/>
          <w:p>
            <w:pPr>
              <w:pStyle w:val="Compact"/>
              <w:spacing w:line="240" w:lineRule="auto" w:before="20" w:after="20"/>
              <w:jc w:val="left"/>
            </w:pPr>
            <w:r>
              <w:rPr>
                <w:rFonts w:ascii="Times New Roman" w:hAnsi="Times New Roman"/>
                <w:sz w:val="20"/>
              </w:rPr>
              <w:t xml:space="preserve">ROA</w:t>
            </w:r>
          </w:p>
        </w:tc>
        <w:tc>
          <w:tcPr/>
          <w:p>
            <w:pPr>
              <w:pStyle w:val="Compact"/>
              <w:spacing w:line="240" w:lineRule="auto" w:before="20" w:after="20"/>
              <w:jc w:val="left"/>
            </w:pPr>
            <w:r>
              <w:rPr>
                <w:rFonts w:ascii="Times New Roman" w:hAnsi="Times New Roman"/>
                <w:sz w:val="20"/>
              </w:rPr>
              <w:t xml:space="preserve">3</w:t>
            </w:r>
          </w:p>
        </w:tc>
        <w:tc>
          <w:tcPr/>
          <w:p>
            <w:pPr>
              <w:pStyle w:val="Compact"/>
              <w:spacing w:line="240" w:lineRule="auto" w:before="20" w:after="20"/>
              <w:jc w:val="left"/>
            </w:pPr>
            <w:r>
              <w:rPr>
                <w:rFonts w:ascii="Times New Roman" w:hAnsi="Times New Roman"/>
                <w:sz w:val="20"/>
              </w:rPr>
              <w:t xml:space="preserve">.50</w:t>
            </w:r>
          </w:p>
        </w:tc>
        <w:tc>
          <w:tcPr/>
          <w:p>
            <w:pPr>
              <w:pStyle w:val="Compact"/>
              <w:spacing w:line="240" w:lineRule="auto" w:before="20" w:after="20"/>
              <w:jc w:val="left"/>
            </w:pPr>
            <w:r>
              <w:rPr>
                <w:rFonts w:ascii="Times New Roman" w:hAnsi="Times New Roman"/>
                <w:sz w:val="20"/>
              </w:rPr>
              <w:t xml:space="preserve">.53</w:t>
            </w:r>
          </w:p>
        </w:tc>
        <w:tc>
          <w:tcPr/>
          <w:p>
            <w:pPr>
              <w:pStyle w:val="Compact"/>
              <w:spacing w:line="240" w:lineRule="auto" w:before="20" w:after="20"/>
              <w:jc w:val="left"/>
            </w:pPr>
            <w:r>
              <w:rPr>
                <w:rFonts w:ascii="Times New Roman" w:hAnsi="Times New Roman"/>
                <w:sz w:val="20"/>
              </w:rPr>
              <w:t xml:space="preserve">.56</w:t>
            </w:r>
          </w:p>
        </w:tc>
        <w:tc>
          <w:tcPr/>
          <w:p>
            <w:pPr>
              <w:pStyle w:val="Compact"/>
              <w:spacing w:line="240" w:lineRule="auto" w:before="20" w:after="20"/>
              <w:jc w:val="left"/>
            </w:pPr>
            <w:r>
              <w:rPr>
                <w:rFonts w:ascii="Times New Roman" w:hAnsi="Times New Roman"/>
                <w:sz w:val="20"/>
              </w:rPr>
              <w:t xml:space="preserve">.249</w:t>
            </w:r>
          </w:p>
        </w:tc>
      </w:tr>
      <w:tr>
        <w:tc>
          <w:tcPr/>
          <w:p>
            <w:pPr>
              <w:pStyle w:val="Compact"/>
              <w:spacing w:line="240" w:lineRule="auto" w:before="20" w:after="20"/>
              <w:jc w:val="left"/>
            </w:pPr>
            <w:r>
              <w:rPr>
                <w:rFonts w:ascii="Times New Roman" w:hAnsi="Times New Roman"/>
                <w:sz w:val="20"/>
              </w:rPr>
              <w:t xml:space="preserve">CONT</w:t>
            </w:r>
          </w:p>
        </w:tc>
        <w:tc>
          <w:tcPr/>
          <w:p>
            <w:pPr>
              <w:pStyle w:val="Compact"/>
              <w:spacing w:line="240" w:lineRule="auto" w:before="20" w:after="20"/>
              <w:jc w:val="left"/>
            </w:pPr>
            <w:r>
              <w:rPr>
                <w:rFonts w:ascii="Times New Roman" w:hAnsi="Times New Roman"/>
                <w:sz w:val="20"/>
              </w:rPr>
              <w:t xml:space="preserve">3</w:t>
            </w:r>
          </w:p>
        </w:tc>
        <w:tc>
          <w:tcPr/>
          <w:p>
            <w:pPr>
              <w:pStyle w:val="Compact"/>
              <w:spacing w:line="240" w:lineRule="auto" w:before="20" w:after="20"/>
              <w:jc w:val="left"/>
            </w:pPr>
            <w:r>
              <w:rPr>
                <w:rFonts w:ascii="Times New Roman" w:hAnsi="Times New Roman"/>
                <w:sz w:val="20"/>
              </w:rPr>
              <w:t xml:space="preserve">.64</w:t>
            </w:r>
          </w:p>
        </w:tc>
        <w:tc>
          <w:tcPr/>
          <w:p>
            <w:pPr>
              <w:pStyle w:val="Compact"/>
              <w:spacing w:line="240" w:lineRule="auto" w:before="20" w:after="20"/>
              <w:jc w:val="left"/>
            </w:pPr>
            <w:r>
              <w:rPr>
                <w:rFonts w:ascii="Times New Roman" w:hAnsi="Times New Roman"/>
                <w:sz w:val="20"/>
              </w:rPr>
              <w:t xml:space="preserve">.69</w:t>
            </w:r>
          </w:p>
        </w:tc>
        <w:tc>
          <w:tcPr/>
          <w:p>
            <w:pPr>
              <w:pStyle w:val="Compact"/>
              <w:spacing w:line="240" w:lineRule="auto" w:before="20" w:after="20"/>
              <w:jc w:val="left"/>
            </w:pPr>
            <w:r>
              <w:rPr>
                <w:rFonts w:ascii="Times New Roman" w:hAnsi="Times New Roman"/>
                <w:sz w:val="20"/>
              </w:rPr>
              <w:t xml:space="preserve">.69</w:t>
            </w:r>
          </w:p>
        </w:tc>
        <w:tc>
          <w:tcPr/>
          <w:p>
            <w:pPr>
              <w:pStyle w:val="Compact"/>
              <w:spacing w:line="240" w:lineRule="auto" w:before="20" w:after="20"/>
              <w:jc w:val="left"/>
            </w:pPr>
            <w:r>
              <w:rPr>
                <w:rFonts w:ascii="Times New Roman" w:hAnsi="Times New Roman"/>
                <w:sz w:val="20"/>
              </w:rPr>
              <w:t xml:space="preserve">.372</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POP items are reverse-scored. α = Cronbach’s alpha; ω = McDonald’s omega total. Mean rᵢᵢ = mean inter-item correlation.</w:t>
      </w:r>
    </w:p>
    <w:p>
      <w:pPr>
        <w:pStyle w:val="BodyText"/>
        <w:spacing w:line="480" w:lineRule="auto"/>
      </w:pPr>
      <w:r>
        <w:rPr>
          <w:rFonts w:ascii="Times New Roman" w:hAnsi="Times New Roman"/>
        </w:rPr>
        <w:t xml:space="preserve">These values are modest by conventional standards but structurally constrained by the three-item design: with</w:t>
      </w:r>
      <w:r>
        <w:rPr>
          <w:rFonts w:ascii="Times New Roman" w:hAnsi="Times New Roman"/>
        </w:rPr>
        <w:t xml:space="preserve"> </w:t>
      </w:r>
      <w:r>
        <w:rPr>
          <w:iCs/>
          <w:rFonts w:ascii="Times New Roman" w:hAnsi="Times New Roman"/>
          <w:i/>
        </w:rPr>
        <w:t xml:space="preserve">k</w:t>
      </w:r>
      <w:r>
        <w:rPr>
          <w:rFonts w:ascii="Times New Roman" w:hAnsi="Times New Roman"/>
        </w:rPr>
        <w:t xml:space="preserve"> </w:t>
      </w:r>
      <w:r>
        <w:rPr>
          <w:rFonts w:ascii="Times New Roman" w:hAnsi="Times New Roman"/>
        </w:rPr>
        <w:t xml:space="preserve">= 3, even moderate inter-item correlations (.20–.35) yield α in this range (Spearman-Brown projected α for six-item subscales: .64–.79). McDonald’s ω (.55–.69) is more appropriate given unequal loadings (Table 2). The knowledge–HPT correlations reported below (r = .22–.34) demonstrate that the instrument carries genuine psychometric signal despite modest subscale reliability. Correcting the ideology–HPT correlation for attenuation yielded a disattenuated r = -.07, indicating that measurement error does not mask a meaningful ideology association.</w:t>
      </w:r>
    </w:p>
    <w:bookmarkEnd w:id="40"/>
    <w:bookmarkStart w:id="41" w:name="intraclass-correlations"/>
    <w:p>
      <w:pPr>
        <w:pStyle w:val="Heading3"/>
        <w:spacing w:line="480" w:lineRule="auto"/>
      </w:pPr>
      <w:r>
        <w:rPr>
          <w:rFonts w:ascii="Times New Roman" w:hAnsi="Times New Roman"/>
        </w:rPr>
        <w:t xml:space="preserve">4.4 Intraclass Correlations</w:t>
      </w:r>
    </w:p>
    <w:p>
      <w:pPr>
        <w:pStyle w:val="FirstParagraph"/>
        <w:spacing w:line="480" w:lineRule="auto"/>
      </w:pPr>
      <w:r>
        <w:rPr>
          <w:rFonts w:ascii="Times New Roman" w:hAnsi="Times New Roman"/>
        </w:rPr>
        <w:t xml:space="preserve">Intraclass correlations indicated meaningful school-level clustering for most HPT outcomes (HPT_CTX6: ICC_school = .041; HPT_TOT9: ICC_school = .085; ROA: ICC_school = .102), consistent with between-school differences in instructional emphasis and student composition. Classroom-level variance was near zero for the primary composite but non-negligible for CONT (ICC_class = .033) and ROA (ICC_class = .104). These ICCs justify multilevel modeling for substantive analyses and</w:t>
      </w:r>
      <w:r>
        <w:rPr>
          <w:rFonts w:ascii="Times New Roman" w:hAnsi="Times New Roman"/>
        </w:rPr>
        <w:t xml:space="preserve"> </w:t>
      </w:r>
      <w:r>
        <w:rPr>
          <w:rFonts w:ascii="Times New Roman" w:hAnsi="Times New Roman"/>
        </w:rPr>
        <w:t xml:space="preserve">indicate that the instrument is sensitive to contextual variation in</w:t>
      </w:r>
      <w:r>
        <w:rPr>
          <w:rFonts w:ascii="Times New Roman" w:hAnsi="Times New Roman"/>
        </w:rPr>
        <w:t xml:space="preserve"> </w:t>
      </w:r>
      <w:r>
        <w:rPr>
          <w:rFonts w:ascii="Times New Roman" w:hAnsi="Times New Roman"/>
        </w:rPr>
        <w:t xml:space="preserve">historical reasoning opportunities—a desirable property for a</w:t>
      </w:r>
      <w:r>
        <w:rPr>
          <w:rFonts w:ascii="Times New Roman" w:hAnsi="Times New Roman"/>
        </w:rPr>
        <w:t xml:space="preserve"> </w:t>
      </w:r>
      <w:r>
        <w:rPr>
          <w:rFonts w:ascii="Times New Roman" w:hAnsi="Times New Roman"/>
        </w:rPr>
        <w:t xml:space="preserve">measure intended to capture educationally meaningful differences.</w:t>
      </w:r>
      <w:r>
        <w:rPr>
          <w:rFonts w:ascii="Times New Roman" w:hAnsi="Times New Roman"/>
        </w:rPr>
        <w:t xml:space="preserve"> </w:t>
      </w:r>
      <w:r>
        <w:rPr>
          <w:rFonts w:ascii="Times New Roman" w:hAnsi="Times New Roman"/>
        </w:rPr>
        <w:t xml:space="preserve">The corresponding design effects for the primary composite were</w:t>
      </w:r>
      <w:r>
        <w:rPr>
          <w:rFonts w:ascii="Times New Roman" w:hAnsi="Times New Roman"/>
        </w:rPr>
        <w:t xml:space="preserve"> </w:t>
      </w:r>
      <w:r>
        <w:rPr>
          <w:rFonts w:ascii="Times New Roman" w:hAnsi="Times New Roman"/>
        </w:rPr>
        <w:t xml:space="preserve">modest (HPT_CTX6: DEFF = 1.56; HPT_TOT9: DEFF = 2.16; see Section</w:t>
      </w:r>
      <w:r>
        <w:rPr>
          <w:rFonts w:ascii="Times New Roman" w:hAnsi="Times New Roman"/>
        </w:rPr>
        <w:t xml:space="preserve"> </w:t>
      </w:r>
      <w:r>
        <w:rPr>
          <w:rFonts w:ascii="Times New Roman" w:hAnsi="Times New Roman"/>
        </w:rPr>
        <w:t xml:space="preserve">3.4 for computation and implications).</w:t>
      </w:r>
    </w:p>
    <w:bookmarkEnd w:id="41"/>
    <w:bookmarkStart w:id="42" w:name="dif-analysis"/>
    <w:p>
      <w:pPr>
        <w:pStyle w:val="Heading3"/>
        <w:spacing w:line="480" w:lineRule="auto"/>
      </w:pPr>
      <w:r>
        <w:rPr>
          <w:rFonts w:ascii="Times New Roman" w:hAnsi="Times New Roman"/>
        </w:rPr>
        <w:t xml:space="preserve">4.5 DIF Analysis</w:t>
      </w:r>
    </w:p>
    <w:p>
      <w:pPr>
        <w:pStyle w:val="FirstParagraph"/>
        <w:spacing w:line="480" w:lineRule="auto"/>
      </w:pPr>
      <w:r>
        <w:rPr>
          <w:rFonts w:ascii="Times New Roman" w:hAnsi="Times New Roman"/>
        </w:rPr>
        <w:t xml:space="preserve">Table 4 presents DIF results for all nine HPT items. Using a constrained multi-group graded response model with likelihood-ratio tests and Bonferroni-adjusted significance (α = .01), no items were flagged for either uniform or non-uniform DIF. All adjusted</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-values exceeded .01, indicating statistically equivalent item parameters across ideology groups. This means that at equal levels of underlying HPT competence, students with low and high ideological attitudes responded to each item in the same way—no individual item functioned differentially as a function of political attitudes.</w:t>
      </w:r>
    </w:p>
    <w:p>
      <w:pPr>
        <w:pStyle w:val="BodyText"/>
        <w:spacing w:line="480" w:lineRule="auto"/>
      </w:pPr>
      <w:r>
        <w:rPr>
          <w:bCs/>
          <w:rFonts w:ascii="Times New Roman" w:hAnsi="Times New Roman"/>
          <w:b/>
        </w:rPr>
        <w:t xml:space="preserve">Table 4.</w:t>
      </w:r>
      <w:r>
        <w:rPr>
          <w:rFonts w:ascii="Times New Roman" w:hAnsi="Times New Roman"/>
        </w:rPr>
        <w:t xml:space="preserve"> </w:t>
      </w:r>
      <w:r>
        <w:rPr>
          <w:iCs/>
          <w:rFonts w:ascii="Times New Roman" w:hAnsi="Times New Roman"/>
          <w:i/>
        </w:rPr>
        <w:t xml:space="preserve">DIF Results per HPT Item (Likelihood-Ratio Tests from Multi-Group Graded Response Model)</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320"/>
        <w:gridCol w:w="1320"/>
        <w:gridCol w:w="1320"/>
        <w:gridCol w:w="1320"/>
        <w:gridCol w:w="1320"/>
        <w:gridCol w:w="1320"/>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Item</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χ²</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df</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p</w:t>
            </w:r>
            <w:r>
              <w:rPr>
                <w:rFonts w:ascii="Times New Roman" w:hAnsi="Times New Roman"/>
                <w:sz w:val="20"/>
              </w:rPr>
              <w:t xml:space="preserve"> </w:t>
            </w:r>
            <w:r>
              <w:rPr>
                <w:rFonts w:ascii="Times New Roman" w:hAnsi="Times New Roman"/>
                <w:sz w:val="20"/>
              </w:rPr>
              <w:t xml:space="preserve">(raw)</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p</w:t>
            </w:r>
            <w:r>
              <w:rPr>
                <w:rFonts w:ascii="Times New Roman" w:hAnsi="Times New Roman"/>
                <w:sz w:val="20"/>
              </w:rPr>
              <w:t xml:space="preserve"> </w:t>
            </w:r>
            <w:r>
              <w:rPr>
                <w:rFonts w:ascii="Times New Roman" w:hAnsi="Times New Roman"/>
                <w:sz w:val="20"/>
              </w:rPr>
              <w:t xml:space="preserve">(Bonferroni)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Flagged</w:t>
            </w:r>
          </w:p>
        </w:tc>
      </w:tr>
      <w:tr>
        <w:tc>
          <w:tcPr/>
          <w:p>
            <w:pPr>
              <w:pStyle w:val="Compact"/>
              <w:spacing w:line="240" w:lineRule="auto" w:before="20" w:after="20"/>
              <w:jc w:val="left"/>
            </w:pPr>
            <w:r>
              <w:rPr>
                <w:rFonts w:ascii="Times New Roman" w:hAnsi="Times New Roman"/>
                <w:sz w:val="20"/>
              </w:rPr>
              <w:t xml:space="preserve">POP1_rev</w:t>
            </w:r>
          </w:p>
        </w:tc>
        <w:tc>
          <w:tcPr/>
          <w:p>
            <w:pPr>
              <w:pStyle w:val="Compact"/>
              <w:spacing w:line="240" w:lineRule="auto" w:before="20" w:after="20"/>
              <w:jc w:val="left"/>
            </w:pPr>
            <w:r>
              <w:rPr>
                <w:rFonts w:ascii="Times New Roman" w:hAnsi="Times New Roman"/>
                <w:sz w:val="20"/>
              </w:rPr>
              <w:t xml:space="preserve">11.91</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.018</w:t>
            </w:r>
          </w:p>
        </w:tc>
        <w:tc>
          <w:tcPr/>
          <w:p>
            <w:pPr>
              <w:pStyle w:val="Compact"/>
              <w:spacing w:line="240" w:lineRule="auto" w:before="20" w:after="20"/>
              <w:jc w:val="left"/>
            </w:pPr>
            <w:r>
              <w:rPr>
                <w:rFonts w:ascii="Times New Roman" w:hAnsi="Times New Roman"/>
                <w:sz w:val="20"/>
              </w:rPr>
              <w:t xml:space="preserve">.162</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POP2_rev</w:t>
            </w:r>
          </w:p>
        </w:tc>
        <w:tc>
          <w:tcPr/>
          <w:p>
            <w:pPr>
              <w:pStyle w:val="Compact"/>
              <w:spacing w:line="240" w:lineRule="auto" w:before="20" w:after="20"/>
              <w:jc w:val="left"/>
            </w:pPr>
            <w:r>
              <w:rPr>
                <w:rFonts w:ascii="Times New Roman" w:hAnsi="Times New Roman"/>
                <w:sz w:val="20"/>
              </w:rPr>
              <w:t xml:space="preserve">8.88</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.064</w:t>
            </w:r>
          </w:p>
        </w:tc>
        <w:tc>
          <w:tcPr/>
          <w:p>
            <w:pPr>
              <w:pStyle w:val="Compact"/>
              <w:spacing w:line="240" w:lineRule="auto" w:before="20" w:after="20"/>
              <w:jc w:val="left"/>
            </w:pPr>
            <w:r>
              <w:rPr>
                <w:rFonts w:ascii="Times New Roman" w:hAnsi="Times New Roman"/>
                <w:sz w:val="20"/>
              </w:rPr>
              <w:t xml:space="preserve">.579</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POP3_rev</w:t>
            </w:r>
          </w:p>
        </w:tc>
        <w:tc>
          <w:tcPr/>
          <w:p>
            <w:pPr>
              <w:pStyle w:val="Compact"/>
              <w:spacing w:line="240" w:lineRule="auto" w:before="20" w:after="20"/>
              <w:jc w:val="left"/>
            </w:pPr>
            <w:r>
              <w:rPr>
                <w:rFonts w:ascii="Times New Roman" w:hAnsi="Times New Roman"/>
                <w:sz w:val="20"/>
              </w:rPr>
              <w:t xml:space="preserve">17.13</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.002</w:t>
            </w:r>
          </w:p>
        </w:tc>
        <w:tc>
          <w:tcPr/>
          <w:p>
            <w:pPr>
              <w:pStyle w:val="Compact"/>
              <w:spacing w:line="240" w:lineRule="auto" w:before="20" w:after="20"/>
              <w:jc w:val="left"/>
            </w:pPr>
            <w:r>
              <w:rPr>
                <w:rFonts w:ascii="Times New Roman" w:hAnsi="Times New Roman"/>
                <w:sz w:val="20"/>
              </w:rPr>
              <w:t xml:space="preserve">.016</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ROA1</w:t>
            </w:r>
          </w:p>
        </w:tc>
        <w:tc>
          <w:tcPr/>
          <w:p>
            <w:pPr>
              <w:pStyle w:val="Compact"/>
              <w:spacing w:line="240" w:lineRule="auto" w:before="20" w:after="20"/>
              <w:jc w:val="left"/>
            </w:pPr>
            <w:r>
              <w:rPr>
                <w:rFonts w:ascii="Times New Roman" w:hAnsi="Times New Roman"/>
                <w:sz w:val="20"/>
              </w:rPr>
              <w:t xml:space="preserve">11.13</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.025</w:t>
            </w:r>
          </w:p>
        </w:tc>
        <w:tc>
          <w:tcPr/>
          <w:p>
            <w:pPr>
              <w:pStyle w:val="Compact"/>
              <w:spacing w:line="240" w:lineRule="auto" w:before="20" w:after="20"/>
              <w:jc w:val="left"/>
            </w:pPr>
            <w:r>
              <w:rPr>
                <w:rFonts w:ascii="Times New Roman" w:hAnsi="Times New Roman"/>
                <w:sz w:val="20"/>
              </w:rPr>
              <w:t xml:space="preserve">.226</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ROA2</w:t>
            </w:r>
          </w:p>
        </w:tc>
        <w:tc>
          <w:tcPr/>
          <w:p>
            <w:pPr>
              <w:pStyle w:val="Compact"/>
              <w:spacing w:line="240" w:lineRule="auto" w:before="20" w:after="20"/>
              <w:jc w:val="left"/>
            </w:pPr>
            <w:r>
              <w:rPr>
                <w:rFonts w:ascii="Times New Roman" w:hAnsi="Times New Roman"/>
                <w:sz w:val="20"/>
              </w:rPr>
              <w:t xml:space="preserve">3.55</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.471</w:t>
            </w:r>
          </w:p>
        </w:tc>
        <w:tc>
          <w:tcPr/>
          <w:p>
            <w:pPr>
              <w:pStyle w:val="Compact"/>
              <w:spacing w:line="240" w:lineRule="auto" w:before="20" w:after="20"/>
              <w:jc w:val="left"/>
            </w:pPr>
            <w:r>
              <w:rPr>
                <w:rFonts w:ascii="Times New Roman" w:hAnsi="Times New Roman"/>
                <w:sz w:val="20"/>
              </w:rPr>
              <w:t xml:space="preserve">1.000</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ROA3</w:t>
            </w:r>
          </w:p>
        </w:tc>
        <w:tc>
          <w:tcPr/>
          <w:p>
            <w:pPr>
              <w:pStyle w:val="Compact"/>
              <w:spacing w:line="240" w:lineRule="auto" w:before="20" w:after="20"/>
              <w:jc w:val="left"/>
            </w:pPr>
            <w:r>
              <w:rPr>
                <w:rFonts w:ascii="Times New Roman" w:hAnsi="Times New Roman"/>
                <w:sz w:val="20"/>
              </w:rPr>
              <w:t xml:space="preserve">3.45</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.486</w:t>
            </w:r>
          </w:p>
        </w:tc>
        <w:tc>
          <w:tcPr/>
          <w:p>
            <w:pPr>
              <w:pStyle w:val="Compact"/>
              <w:spacing w:line="240" w:lineRule="auto" w:before="20" w:after="20"/>
              <w:jc w:val="left"/>
            </w:pPr>
            <w:r>
              <w:rPr>
                <w:rFonts w:ascii="Times New Roman" w:hAnsi="Times New Roman"/>
                <w:sz w:val="20"/>
              </w:rPr>
              <w:t xml:space="preserve">1.000</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CONT1</w:t>
            </w:r>
          </w:p>
        </w:tc>
        <w:tc>
          <w:tcPr/>
          <w:p>
            <w:pPr>
              <w:pStyle w:val="Compact"/>
              <w:spacing w:line="240" w:lineRule="auto" w:before="20" w:after="20"/>
              <w:jc w:val="left"/>
            </w:pPr>
            <w:r>
              <w:rPr>
                <w:rFonts w:ascii="Times New Roman" w:hAnsi="Times New Roman"/>
                <w:sz w:val="20"/>
              </w:rPr>
              <w:t xml:space="preserve">1.48</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.830</w:t>
            </w:r>
          </w:p>
        </w:tc>
        <w:tc>
          <w:tcPr/>
          <w:p>
            <w:pPr>
              <w:pStyle w:val="Compact"/>
              <w:spacing w:line="240" w:lineRule="auto" w:before="20" w:after="20"/>
              <w:jc w:val="left"/>
            </w:pPr>
            <w:r>
              <w:rPr>
                <w:rFonts w:ascii="Times New Roman" w:hAnsi="Times New Roman"/>
                <w:sz w:val="20"/>
              </w:rPr>
              <w:t xml:space="preserve">1.000</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CONT2</w:t>
            </w:r>
          </w:p>
        </w:tc>
        <w:tc>
          <w:tcPr/>
          <w:p>
            <w:pPr>
              <w:pStyle w:val="Compact"/>
              <w:spacing w:line="240" w:lineRule="auto" w:before="20" w:after="20"/>
              <w:jc w:val="left"/>
            </w:pPr>
            <w:r>
              <w:rPr>
                <w:rFonts w:ascii="Times New Roman" w:hAnsi="Times New Roman"/>
                <w:sz w:val="20"/>
              </w:rPr>
              <w:t xml:space="preserve">3.53</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.473</w:t>
            </w:r>
          </w:p>
        </w:tc>
        <w:tc>
          <w:tcPr/>
          <w:p>
            <w:pPr>
              <w:pStyle w:val="Compact"/>
              <w:spacing w:line="240" w:lineRule="auto" w:before="20" w:after="20"/>
              <w:jc w:val="left"/>
            </w:pPr>
            <w:r>
              <w:rPr>
                <w:rFonts w:ascii="Times New Roman" w:hAnsi="Times New Roman"/>
                <w:sz w:val="20"/>
              </w:rPr>
              <w:t xml:space="preserve">1.000</w:t>
            </w:r>
          </w:p>
        </w:tc>
        <w:tc>
          <w:tcPr/>
          <w:p>
            <w:pPr>
              <w:pStyle w:val="Compact"/>
              <w:spacing w:line="240" w:lineRule="auto" w:before="20" w:after="20"/>
              <w:jc w:val="left"/>
            </w:pPr>
            <w:r>
              <w:rPr>
                <w:rFonts w:ascii="Times New Roman" w:hAnsi="Times New Roman"/>
                <w:sz w:val="20"/>
              </w:rPr>
              <w:t xml:space="preserve">No</w:t>
            </w:r>
          </w:p>
        </w:tc>
      </w:tr>
      <w:tr>
        <w:tc>
          <w:tcPr/>
          <w:p>
            <w:pPr>
              <w:pStyle w:val="Compact"/>
              <w:spacing w:line="240" w:lineRule="auto" w:before="20" w:after="20"/>
              <w:jc w:val="left"/>
            </w:pPr>
            <w:r>
              <w:rPr>
                <w:rFonts w:ascii="Times New Roman" w:hAnsi="Times New Roman"/>
                <w:sz w:val="20"/>
              </w:rPr>
              <w:t xml:space="preserve">CONT3</w:t>
            </w:r>
          </w:p>
        </w:tc>
        <w:tc>
          <w:tcPr/>
          <w:p>
            <w:pPr>
              <w:pStyle w:val="Compact"/>
              <w:spacing w:line="240" w:lineRule="auto" w:before="20" w:after="20"/>
              <w:jc w:val="left"/>
            </w:pPr>
            <w:r>
              <w:rPr>
                <w:rFonts w:ascii="Times New Roman" w:hAnsi="Times New Roman"/>
                <w:sz w:val="20"/>
              </w:rPr>
              <w:t xml:space="preserve">9.56</w:t>
            </w:r>
          </w:p>
        </w:tc>
        <w:tc>
          <w:tcPr/>
          <w:p>
            <w:pPr>
              <w:pStyle w:val="Compact"/>
              <w:spacing w:line="240" w:lineRule="auto" w:before="20" w:after="20"/>
              <w:jc w:val="left"/>
            </w:pPr>
            <w:r>
              <w:rPr>
                <w:rFonts w:ascii="Times New Roman" w:hAnsi="Times New Roman"/>
                <w:sz w:val="20"/>
              </w:rPr>
              <w:t xml:space="preserve">4</w:t>
            </w:r>
          </w:p>
        </w:tc>
        <w:tc>
          <w:tcPr/>
          <w:p>
            <w:pPr>
              <w:pStyle w:val="Compact"/>
              <w:spacing w:line="240" w:lineRule="auto" w:before="20" w:after="20"/>
              <w:jc w:val="left"/>
            </w:pPr>
            <w:r>
              <w:rPr>
                <w:rFonts w:ascii="Times New Roman" w:hAnsi="Times New Roman"/>
                <w:sz w:val="20"/>
              </w:rPr>
              <w:t xml:space="preserve">.048</w:t>
            </w:r>
          </w:p>
        </w:tc>
        <w:tc>
          <w:tcPr/>
          <w:p>
            <w:pPr>
              <w:pStyle w:val="Compact"/>
              <w:spacing w:line="240" w:lineRule="auto" w:before="20" w:after="20"/>
              <w:jc w:val="left"/>
            </w:pPr>
            <w:r>
              <w:rPr>
                <w:rFonts w:ascii="Times New Roman" w:hAnsi="Times New Roman"/>
                <w:sz w:val="20"/>
              </w:rPr>
              <w:t xml:space="preserve">.436</w:t>
            </w:r>
          </w:p>
        </w:tc>
        <w:tc>
          <w:tcPr/>
          <w:p>
            <w:pPr>
              <w:pStyle w:val="Compact"/>
              <w:spacing w:line="240" w:lineRule="auto" w:before="20" w:after="20"/>
              <w:jc w:val="left"/>
            </w:pPr>
            <w:r>
              <w:rPr>
                <w:rFonts w:ascii="Times New Roman" w:hAnsi="Times New Roman"/>
                <w:sz w:val="20"/>
              </w:rPr>
              <w:t xml:space="preserve">No</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Likelihood-ratio chi-square statistics from constrained multi-group graded response models. Each test compares a fully constrained baseline (all items equal across groups) to a model freeing discrimination and threshold parameters for the tested item. Low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86) and High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82) ideology groups formed by tertile split on composite ideology score (middle tertile excluded). Bonferroni-adjusted α = .01 (9 tests). 0 of 9 items flagged. POP3_rev showed the largest DIF statistic (χ² = 17.13,</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_raw = .002) but did not survive Bonferroni correction (</w:t>
      </w:r>
      <w:r>
        <w:rPr>
          <w:iCs/>
          <w:rFonts w:ascii="Times New Roman" w:hAnsi="Times New Roman"/>
          <w:i/>
        </w:rPr>
        <w:t xml:space="preserve">p</w:t>
      </w:r>
      <w:r>
        <w:rPr>
          <w:rFonts w:ascii="Times New Roman" w:hAnsi="Times New Roman"/>
        </w:rPr>
        <w:t xml:space="preserve">_adj = .016 &gt; .01), suggesting at most a marginal tendency toward differential functioning that warrants monitoring in future samples. Effect size estimation (e.g., Raju’s signed area) requires separate computation from the GRM parameters and is available in the OSF supplementary materials.</w:t>
      </w:r>
    </w:p>
    <w:bookmarkEnd w:id="42"/>
    <w:bookmarkStart w:id="43" w:name="measurement-invariance"/>
    <w:p>
      <w:pPr>
        <w:pStyle w:val="Heading3"/>
        <w:spacing w:line="480" w:lineRule="auto"/>
      </w:pPr>
      <w:r>
        <w:rPr>
          <w:rFonts w:ascii="Times New Roman" w:hAnsi="Times New Roman"/>
        </w:rPr>
        <w:t xml:space="preserve">4.6 Measurement Invariance</w:t>
      </w:r>
    </w:p>
    <w:p>
      <w:pPr>
        <w:pStyle w:val="FirstParagraph"/>
        <w:spacing w:line="480" w:lineRule="auto"/>
      </w:pPr>
      <w:r>
        <w:rPr>
          <w:rFonts w:ascii="Times New Roman" w:hAnsi="Times New Roman"/>
        </w:rPr>
        <w:t xml:space="preserve">Table 5 presents the stepwise MG-CFA results. The configural model demonstrated adequate fit (CFI = .978, RMSEA = .043, SRMR = .074), confirming that the three-factor structure holds separately in both ideology groups. Constraining factor loadings to equality across groups (metric invariance) produced no meaningful deterioration (ΔCFI = .000, ΔRMSEA = −.002). Constraining both loadings and thresholds (scalar invariance) similarly maintained fit (ΔCFI = +.002, ΔRMSEA = −.006). Both transitions satisfy the established criteria of |ΔCFI| ≤ .01 and |ΔRMSEA| ≤ .015</w:t>
      </w:r>
      <w:r>
        <w:rPr>
          <w:rFonts w:ascii="Times New Roman" w:hAnsi="Times New Roman"/>
        </w:rPr>
        <w:t xml:space="preserve"> </w:t>
      </w:r>
      <w:r>
        <w:rPr>
          <w:rFonts w:ascii="Times New Roman" w:hAnsi="Times New Roman"/>
        </w:rPr>
        <w:t xml:space="preserve">(Chen, 2007; Cheung &amp; Rensvold, 2002)</w:t>
      </w:r>
      <w:r>
        <w:rPr>
          <w:rFonts w:ascii="Times New Roman" w:hAnsi="Times New Roman"/>
        </w:rPr>
        <w:t xml:space="preserve">, providing evidence for full scalar invariance.</w:t>
      </w:r>
    </w:p>
    <w:p>
      <w:pPr>
        <w:pStyle w:val="BodyText"/>
        <w:spacing w:line="480" w:lineRule="auto"/>
      </w:pPr>
      <w:r>
        <w:rPr>
          <w:bCs/>
          <w:rFonts w:ascii="Times New Roman" w:hAnsi="Times New Roman"/>
          <w:b/>
        </w:rPr>
        <w:t xml:space="preserve">Table 5.</w:t>
      </w:r>
      <w:r>
        <w:rPr>
          <w:rFonts w:ascii="Times New Roman" w:hAnsi="Times New Roman"/>
        </w:rPr>
        <w:t xml:space="preserve"> </w:t>
      </w:r>
      <w:r>
        <w:rPr>
          <w:iCs/>
          <w:rFonts w:ascii="Times New Roman" w:hAnsi="Times New Roman"/>
          <w:i/>
        </w:rPr>
        <w:t xml:space="preserve">Multi-Group CFA Fit Indices Across Invariance Levels (WLSMV)</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320"/>
        <w:gridCol w:w="1320"/>
        <w:gridCol w:w="1320"/>
        <w:gridCol w:w="1320"/>
        <w:gridCol w:w="1320"/>
        <w:gridCol w:w="1320"/>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Model</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CFI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RMSEA</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SRMR</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ΔCFI</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ΔRMSEA</w:t>
            </w:r>
          </w:p>
        </w:tc>
      </w:tr>
      <w:tr>
        <w:tc>
          <w:tcPr/>
          <w:p>
            <w:pPr>
              <w:pStyle w:val="Compact"/>
              <w:spacing w:line="240" w:lineRule="auto" w:before="20" w:after="20"/>
              <w:jc w:val="left"/>
            </w:pPr>
            <w:r>
              <w:rPr>
                <w:rFonts w:ascii="Times New Roman" w:hAnsi="Times New Roman"/>
                <w:sz w:val="20"/>
              </w:rPr>
              <w:t xml:space="preserve">Configural</w:t>
            </w:r>
          </w:p>
        </w:tc>
        <w:tc>
          <w:tcPr/>
          <w:p>
            <w:pPr>
              <w:pStyle w:val="Compact"/>
              <w:spacing w:line="240" w:lineRule="auto" w:before="20" w:after="20"/>
              <w:jc w:val="left"/>
            </w:pPr>
            <w:r>
              <w:rPr>
                <w:rFonts w:ascii="Times New Roman" w:hAnsi="Times New Roman"/>
                <w:sz w:val="20"/>
              </w:rPr>
              <w:t xml:space="preserve">.978</w:t>
            </w:r>
          </w:p>
        </w:tc>
        <w:tc>
          <w:tcPr/>
          <w:p>
            <w:pPr>
              <w:pStyle w:val="Compact"/>
              <w:spacing w:line="240" w:lineRule="auto" w:before="20" w:after="20"/>
              <w:jc w:val="left"/>
            </w:pPr>
            <w:r>
              <w:rPr>
                <w:rFonts w:ascii="Times New Roman" w:hAnsi="Times New Roman"/>
                <w:sz w:val="20"/>
              </w:rPr>
              <w:t xml:space="preserve">.043</w:t>
            </w:r>
          </w:p>
        </w:tc>
        <w:tc>
          <w:tcPr/>
          <w:p>
            <w:pPr>
              <w:pStyle w:val="Compact"/>
              <w:spacing w:line="240" w:lineRule="auto" w:before="20" w:after="20"/>
              <w:jc w:val="left"/>
            </w:pPr>
            <w:r>
              <w:rPr>
                <w:rFonts w:ascii="Times New Roman" w:hAnsi="Times New Roman"/>
                <w:sz w:val="20"/>
              </w:rPr>
              <w:t xml:space="preserve">.074</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jc w:val="left"/>
            </w:pPr>
            <w:r>
              <w:rPr>
                <w:rFonts w:ascii="Times New Roman" w:hAnsi="Times New Roman"/>
                <w:sz w:val="20"/>
              </w:rPr>
              <w:t xml:space="preserve">—</w:t>
            </w:r>
          </w:p>
        </w:tc>
      </w:tr>
      <w:tr>
        <w:tc>
          <w:tcPr/>
          <w:p>
            <w:pPr>
              <w:pStyle w:val="Compact"/>
              <w:spacing w:line="240" w:lineRule="auto" w:before="20" w:after="20"/>
              <w:jc w:val="left"/>
            </w:pPr>
            <w:r>
              <w:rPr>
                <w:rFonts w:ascii="Times New Roman" w:hAnsi="Times New Roman"/>
                <w:sz w:val="20"/>
              </w:rPr>
              <w:t xml:space="preserve">Metric</w:t>
            </w:r>
          </w:p>
        </w:tc>
        <w:tc>
          <w:tcPr/>
          <w:p>
            <w:pPr>
              <w:pStyle w:val="Compact"/>
              <w:spacing w:line="240" w:lineRule="auto" w:before="20" w:after="20"/>
              <w:jc w:val="left"/>
            </w:pPr>
            <w:r>
              <w:rPr>
                <w:rFonts w:ascii="Times New Roman" w:hAnsi="Times New Roman"/>
                <w:sz w:val="20"/>
              </w:rPr>
              <w:t xml:space="preserve">.978</w:t>
            </w:r>
          </w:p>
        </w:tc>
        <w:tc>
          <w:tcPr/>
          <w:p>
            <w:pPr>
              <w:pStyle w:val="Compact"/>
              <w:spacing w:line="240" w:lineRule="auto" w:before="20" w:after="20"/>
              <w:jc w:val="left"/>
            </w:pPr>
            <w:r>
              <w:rPr>
                <w:rFonts w:ascii="Times New Roman" w:hAnsi="Times New Roman"/>
                <w:sz w:val="20"/>
              </w:rPr>
              <w:t xml:space="preserve">.041</w:t>
            </w:r>
          </w:p>
        </w:tc>
        <w:tc>
          <w:tcPr/>
          <w:p>
            <w:pPr>
              <w:pStyle w:val="Compact"/>
              <w:spacing w:line="240" w:lineRule="auto" w:before="20" w:after="20"/>
              <w:jc w:val="left"/>
            </w:pPr>
            <w:r>
              <w:rPr>
                <w:rFonts w:ascii="Times New Roman" w:hAnsi="Times New Roman"/>
                <w:sz w:val="20"/>
              </w:rPr>
              <w:t xml:space="preserve">.081</w:t>
            </w:r>
          </w:p>
        </w:tc>
        <w:tc>
          <w:tcPr/>
          <w:p>
            <w:pPr>
              <w:pStyle w:val="Compact"/>
              <w:spacing w:line="240" w:lineRule="auto" w:before="20" w:after="20"/>
              <w:jc w:val="left"/>
            </w:pPr>
            <w:r>
              <w:rPr>
                <w:rFonts w:ascii="Times New Roman" w:hAnsi="Times New Roman"/>
                <w:sz w:val="20"/>
              </w:rPr>
              <w:t xml:space="preserve">.000</w:t>
            </w:r>
          </w:p>
        </w:tc>
        <w:tc>
          <w:tcPr/>
          <w:p>
            <w:pPr>
              <w:pStyle w:val="Compact"/>
              <w:spacing w:line="240" w:lineRule="auto" w:before="20" w:after="20"/>
              <w:jc w:val="left"/>
            </w:pPr>
            <w:r>
              <w:rPr>
                <w:rFonts w:ascii="Times New Roman" w:hAnsi="Times New Roman"/>
                <w:sz w:val="20"/>
              </w:rPr>
              <w:t xml:space="preserve">−.002</w:t>
            </w:r>
          </w:p>
        </w:tc>
      </w:tr>
      <w:tr>
        <w:tc>
          <w:tcPr/>
          <w:p>
            <w:pPr>
              <w:pStyle w:val="Compact"/>
              <w:spacing w:line="240" w:lineRule="auto" w:before="20" w:after="20"/>
              <w:jc w:val="left"/>
            </w:pPr>
            <w:r>
              <w:rPr>
                <w:rFonts w:ascii="Times New Roman" w:hAnsi="Times New Roman"/>
                <w:sz w:val="20"/>
              </w:rPr>
              <w:t xml:space="preserve">Scalar</w:t>
            </w:r>
          </w:p>
        </w:tc>
        <w:tc>
          <w:tcPr/>
          <w:p>
            <w:pPr>
              <w:pStyle w:val="Compact"/>
              <w:spacing w:line="240" w:lineRule="auto" w:before="20" w:after="20"/>
              <w:jc w:val="left"/>
            </w:pPr>
            <w:r>
              <w:rPr>
                <w:rFonts w:ascii="Times New Roman" w:hAnsi="Times New Roman"/>
                <w:sz w:val="20"/>
              </w:rPr>
              <w:t xml:space="preserve">.980</w:t>
            </w:r>
          </w:p>
        </w:tc>
        <w:tc>
          <w:tcPr/>
          <w:p>
            <w:pPr>
              <w:pStyle w:val="Compact"/>
              <w:spacing w:line="240" w:lineRule="auto" w:before="20" w:after="20"/>
              <w:jc w:val="left"/>
            </w:pPr>
            <w:r>
              <w:rPr>
                <w:rFonts w:ascii="Times New Roman" w:hAnsi="Times New Roman"/>
                <w:sz w:val="20"/>
              </w:rPr>
              <w:t xml:space="preserve">.035</w:t>
            </w:r>
          </w:p>
        </w:tc>
        <w:tc>
          <w:tcPr/>
          <w:p>
            <w:pPr>
              <w:pStyle w:val="Compact"/>
              <w:spacing w:line="240" w:lineRule="auto" w:before="20" w:after="20"/>
              <w:jc w:val="left"/>
            </w:pPr>
            <w:r>
              <w:rPr>
                <w:rFonts w:ascii="Times New Roman" w:hAnsi="Times New Roman"/>
                <w:sz w:val="20"/>
              </w:rPr>
              <w:t xml:space="preserve">.076</w:t>
            </w:r>
          </w:p>
        </w:tc>
        <w:tc>
          <w:tcPr/>
          <w:p>
            <w:pPr>
              <w:pStyle w:val="Compact"/>
              <w:spacing w:line="240" w:lineRule="auto" w:before="20" w:after="20"/>
              <w:jc w:val="left"/>
            </w:pPr>
            <w:r>
              <w:rPr>
                <w:rFonts w:ascii="Times New Roman" w:hAnsi="Times New Roman"/>
                <w:sz w:val="20"/>
              </w:rPr>
              <w:t xml:space="preserve">+.002</w:t>
            </w:r>
          </w:p>
        </w:tc>
        <w:tc>
          <w:tcPr/>
          <w:p>
            <w:pPr>
              <w:pStyle w:val="Compact"/>
              <w:spacing w:line="240" w:lineRule="auto" w:before="20" w:after="20"/>
              <w:jc w:val="left"/>
            </w:pPr>
            <w:r>
              <w:rPr>
                <w:rFonts w:ascii="Times New Roman" w:hAnsi="Times New Roman"/>
                <w:sz w:val="20"/>
              </w:rPr>
              <w:t xml:space="preserve">−.006</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ΔCFI and ΔRMSEA computed relative to the preceding model. Invariance criteria: |ΔCFI| ≤ .01, |ΔRMSEA| ≤ .015</w:t>
      </w:r>
      <w:r>
        <w:rPr>
          <w:rFonts w:ascii="Times New Roman" w:hAnsi="Times New Roman"/>
        </w:rPr>
        <w:t xml:space="preserve"> </w:t>
      </w:r>
      <w:r>
        <w:rPr>
          <w:rFonts w:ascii="Times New Roman" w:hAnsi="Times New Roman"/>
        </w:rPr>
        <w:t xml:space="preserve">(Chen, 2007)</w:t>
      </w:r>
      <w:r>
        <w:rPr>
          <w:rFonts w:ascii="Times New Roman" w:hAnsi="Times New Roman"/>
        </w:rPr>
        <w:t xml:space="preserve">. Low and High ideology groups formed by tertile split on composite ideology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96 per group). Items treated as ordered categorical. A lavaan warning about negative estimated observed variances occurred for some models, which can occur with small group sizes and WLSMV estimation; this does not invalidate the invariance conclusions but is noted for transparency.</w:t>
      </w:r>
    </w:p>
    <w:p>
      <w:pPr>
        <w:pStyle w:val="BodyText"/>
        <w:spacing w:line="480" w:lineRule="auto"/>
      </w:pPr>
      <w:r>
        <w:rPr>
          <w:rFonts w:ascii="Times New Roman" w:hAnsi="Times New Roman"/>
        </w:rPr>
        <w:t xml:space="preserve">Full scalar invariance means that the factor structure, factor loadings, and item thresholds are equivalent for students with low and high ideological attitudes—a necessary condition for meaningful group comparisons.</w:t>
      </w:r>
    </w:p>
    <w:bookmarkEnd w:id="43"/>
    <w:bookmarkStart w:id="44" w:name="Xf3f48a82511594b7b3b54257b24cd493d884957"/>
    <w:p>
      <w:pPr>
        <w:pStyle w:val="Heading3"/>
        <w:spacing w:line="480" w:lineRule="auto"/>
      </w:pPr>
      <w:r>
        <w:rPr>
          <w:rFonts w:ascii="Times New Roman" w:hAnsi="Times New Roman"/>
        </w:rPr>
        <w:t xml:space="preserve">4.7 Supplementary Invariance: NS-Only Grouping</w:t>
      </w:r>
    </w:p>
    <w:p>
      <w:pPr>
        <w:pStyle w:val="FirstParagraph"/>
        <w:spacing w:line="480" w:lineRule="auto"/>
      </w:pPr>
      <w:r>
        <w:rPr>
          <w:rFonts w:ascii="Times New Roman" w:hAnsi="Times New Roman"/>
        </w:rPr>
        <w:t xml:space="preserve">To verify that invariance findings were not an artifact of the composite ideology grouping variable, we repeated the MG-CFA using groups defined by the NS facet alone (National Socialist sympathy/relativization), which represents the most direct theoretical operationalization of content congruence with the Weimar scenario. The supplementary analysis confirmed scalar invariance (scalar ΔCFI = +.002), indicating that the instrument functions equivalently even when groups are defined by the ideology facet most proximal to the scenario content.</w:t>
      </w:r>
    </w:p>
    <w:bookmarkEnd w:id="44"/>
    <w:bookmarkStart w:id="45" w:name="convergent-validity"/>
    <w:p>
      <w:pPr>
        <w:pStyle w:val="Heading3"/>
        <w:spacing w:line="480" w:lineRule="auto"/>
      </w:pPr>
      <w:r>
        <w:rPr>
          <w:rFonts w:ascii="Times New Roman" w:hAnsi="Times New Roman"/>
        </w:rPr>
        <w:t xml:space="preserve">4.8 Convergent Validity</w:t>
      </w:r>
    </w:p>
    <w:p>
      <w:pPr>
        <w:pStyle w:val="FirstParagraph"/>
        <w:spacing w:line="480" w:lineRule="auto"/>
      </w:pPr>
      <w:r>
        <w:rPr>
          <w:rFonts w:ascii="Times New Roman" w:hAnsi="Times New Roman"/>
        </w:rPr>
        <w:t xml:space="preserve">Historical knowledge correlated positively with all HPT outcomes, providing convergent validity evidence consistent with the theoretical expectation that HPT is a knowledge-dependent competence:</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.34 (HPT_CTX6),</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.22 (CONT),</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.32 (POP_rev). These moderate correlations indicate that students with stronger knowledge of the relevant historical period scored higher on HPT, while also demonstrating that HPT is not reducible to knowledge alone—the shared variance (approximately 5–12%) leaves substantial HPT variance attributable to reasoning processes beyond factual recall.</w:t>
      </w:r>
    </w:p>
    <w:p>
      <w:pPr>
        <w:pStyle w:val="BodyText"/>
        <w:spacing w:line="480" w:lineRule="auto"/>
      </w:pPr>
      <w:r>
        <w:rPr>
          <w:rFonts w:ascii="Times New Roman" w:hAnsi="Times New Roman"/>
        </w:rPr>
        <w:t xml:space="preserve">History grade also correlated with HPT_CTX6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−.153,</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 .010; negative sign reflects the Czech scale where 1 = excellent). By contrast, ideology measures showed negligible correlations with HPT (FR-LF–HPT_CTX6:</w:t>
      </w:r>
      <w:r>
        <w:rPr>
          <w:rFonts w:ascii="Times New Roman" w:hAnsi="Times New Roman"/>
        </w:rPr>
        <w:t xml:space="preserve">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−.05), and social desirability was unrelated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−.02 to .01). This pattern—significant knowledge correlations, null ideology and social desirability correlations—is consistent with an instrument that measures disciplinary reasoning rather than attitudes or impression management.</w:t>
      </w:r>
    </w:p>
    <w:p>
      <w:pPr>
        <w:pStyle w:val="BodyText"/>
        <w:spacing w:line="480" w:lineRule="auto"/>
      </w:pPr>
      <w:r>
        <w:rPr>
          <w:bCs/>
          <w:rFonts w:ascii="Times New Roman" w:hAnsi="Times New Roman"/>
          <w:b/>
        </w:rPr>
        <w:t xml:space="preserve">Table 6.</w:t>
      </w:r>
      <w:r>
        <w:rPr>
          <w:rFonts w:ascii="Times New Roman" w:hAnsi="Times New Roman"/>
        </w:rPr>
        <w:t xml:space="preserve"> </w:t>
      </w:r>
      <w:r>
        <w:rPr>
          <w:iCs/>
          <w:rFonts w:ascii="Times New Roman" w:hAnsi="Times New Roman"/>
          <w:i/>
        </w:rPr>
        <w:t xml:space="preserve">Zero-Order Pearson Correlations Among Key Variables</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990"/>
        <w:gridCol w:w="990"/>
        <w:gridCol w:w="990"/>
        <w:gridCol w:w="990"/>
        <w:gridCol w:w="990"/>
        <w:gridCol w:w="990"/>
        <w:gridCol w:w="990"/>
        <w:gridCol w:w="990"/>
      </w:tblGrid>
      <w:tr>
        <w:trPr>
          <w:tblHeader w:val="true"/>
        </w:trPr>
        <w:tc>
          <w:tcPr>
            <w:tcBorders>
              <w:bottom w:val="single" w:sz="4" w:space="0" w:color="000000"/>
            </w:tcBorders>
          </w:tcPr>
          <w:p>
            <w:pPr>
              <w:pStyle w:val="Compact"/>
              <w:spacing w:line="240" w:lineRule="auto" w:before="20" w:after="20"/>
            </w:pP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CTX6</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CONT</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POP_rev</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KN</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FR-LF</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KSA</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SDR</w:t>
            </w:r>
          </w:p>
        </w:tc>
      </w:tr>
      <w:tr>
        <w:tc>
          <w:tcPr/>
          <w:p>
            <w:pPr>
              <w:pStyle w:val="Compact"/>
              <w:spacing w:line="240" w:lineRule="auto" w:before="20" w:after="20"/>
              <w:jc w:val="left"/>
            </w:pPr>
            <w:r>
              <w:rPr>
                <w:rFonts w:ascii="Times New Roman" w:hAnsi="Times New Roman"/>
                <w:sz w:val="20"/>
              </w:rPr>
              <w:t xml:space="preserve">HPT CTX6</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HPT CONT</w:t>
            </w:r>
          </w:p>
        </w:tc>
        <w:tc>
          <w:tcPr/>
          <w:p>
            <w:pPr>
              <w:pStyle w:val="Compact"/>
              <w:spacing w:line="240" w:lineRule="auto" w:before="20" w:after="20"/>
              <w:jc w:val="left"/>
            </w:pPr>
            <w:r>
              <w:rPr>
                <w:rFonts w:ascii="Times New Roman" w:hAnsi="Times New Roman"/>
                <w:sz w:val="20"/>
              </w:rPr>
              <w:t xml:space="preserve">.82</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HPT POP_rev</w:t>
            </w:r>
          </w:p>
        </w:tc>
        <w:tc>
          <w:tcPr/>
          <w:p>
            <w:pPr>
              <w:pStyle w:val="Compact"/>
              <w:spacing w:line="240" w:lineRule="auto" w:before="20" w:after="20"/>
              <w:jc w:val="left"/>
            </w:pPr>
            <w:r>
              <w:rPr>
                <w:rFonts w:ascii="Times New Roman" w:hAnsi="Times New Roman"/>
                <w:sz w:val="20"/>
              </w:rPr>
              <w:t xml:space="preserve">.76</w:t>
            </w:r>
          </w:p>
        </w:tc>
        <w:tc>
          <w:tcPr/>
          <w:p>
            <w:pPr>
              <w:pStyle w:val="Compact"/>
              <w:spacing w:line="240" w:lineRule="auto" w:before="20" w:after="20"/>
              <w:jc w:val="left"/>
            </w:pPr>
            <w:r>
              <w:rPr>
                <w:rFonts w:ascii="Times New Roman" w:hAnsi="Times New Roman"/>
                <w:sz w:val="20"/>
              </w:rPr>
              <w:t xml:space="preserve">.26</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KN Total</w:t>
            </w:r>
          </w:p>
        </w:tc>
        <w:tc>
          <w:tcPr/>
          <w:p>
            <w:pPr>
              <w:pStyle w:val="Compact"/>
              <w:spacing w:line="240" w:lineRule="auto" w:before="20" w:after="20"/>
              <w:jc w:val="left"/>
            </w:pPr>
            <w:r>
              <w:rPr>
                <w:rFonts w:ascii="Times New Roman" w:hAnsi="Times New Roman"/>
                <w:sz w:val="20"/>
              </w:rPr>
              <w:t xml:space="preserve">.34</w:t>
            </w:r>
          </w:p>
        </w:tc>
        <w:tc>
          <w:tcPr/>
          <w:p>
            <w:pPr>
              <w:pStyle w:val="Compact"/>
              <w:spacing w:line="240" w:lineRule="auto" w:before="20" w:after="20"/>
              <w:jc w:val="left"/>
            </w:pPr>
            <w:r>
              <w:rPr>
                <w:rFonts w:ascii="Times New Roman" w:hAnsi="Times New Roman"/>
                <w:sz w:val="20"/>
              </w:rPr>
              <w:t xml:space="preserve">.22</w:t>
            </w:r>
          </w:p>
        </w:tc>
        <w:tc>
          <w:tcPr/>
          <w:p>
            <w:pPr>
              <w:pStyle w:val="Compact"/>
              <w:spacing w:line="240" w:lineRule="auto" w:before="20" w:after="20"/>
              <w:jc w:val="left"/>
            </w:pPr>
            <w:r>
              <w:rPr>
                <w:rFonts w:ascii="Times New Roman" w:hAnsi="Times New Roman"/>
                <w:sz w:val="20"/>
              </w:rPr>
              <w:t xml:space="preserve">.32</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FR-LF Total</w:t>
            </w:r>
          </w:p>
        </w:tc>
        <w:tc>
          <w:tcPr/>
          <w:p>
            <w:pPr>
              <w:pStyle w:val="Compact"/>
              <w:spacing w:line="240" w:lineRule="auto" w:before="20" w:after="20"/>
              <w:jc w:val="left"/>
            </w:pPr>
            <w:r>
              <w:rPr>
                <w:rFonts w:ascii="Times New Roman" w:hAnsi="Times New Roman"/>
                <w:sz w:val="20"/>
              </w:rPr>
              <w:t xml:space="preserve">−.05</w:t>
            </w:r>
          </w:p>
        </w:tc>
        <w:tc>
          <w:tcPr/>
          <w:p>
            <w:pPr>
              <w:pStyle w:val="Compact"/>
              <w:spacing w:line="240" w:lineRule="auto" w:before="20" w:after="20"/>
              <w:jc w:val="left"/>
            </w:pPr>
            <w:r>
              <w:rPr>
                <w:rFonts w:ascii="Times New Roman" w:hAnsi="Times New Roman"/>
                <w:sz w:val="20"/>
              </w:rPr>
              <w:t xml:space="preserve">.01</w:t>
            </w:r>
          </w:p>
        </w:tc>
        <w:tc>
          <w:tcPr/>
          <w:p>
            <w:pPr>
              <w:pStyle w:val="Compact"/>
              <w:spacing w:line="240" w:lineRule="auto" w:before="20" w:after="20"/>
              <w:jc w:val="left"/>
            </w:pPr>
            <w:r>
              <w:rPr>
                <w:rFonts w:ascii="Times New Roman" w:hAnsi="Times New Roman"/>
                <w:sz w:val="20"/>
              </w:rPr>
              <w:t xml:space="preserve">−.09</w:t>
            </w:r>
          </w:p>
        </w:tc>
        <w:tc>
          <w:tcPr/>
          <w:p>
            <w:pPr>
              <w:pStyle w:val="Compact"/>
              <w:spacing w:line="240" w:lineRule="auto" w:before="20" w:after="20"/>
              <w:jc w:val="left"/>
            </w:pPr>
            <w:r>
              <w:rPr>
                <w:rFonts w:ascii="Times New Roman" w:hAnsi="Times New Roman"/>
                <w:sz w:val="20"/>
              </w:rPr>
              <w:t xml:space="preserve">−.10</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KSA-3 Total</w:t>
            </w:r>
          </w:p>
        </w:tc>
        <w:tc>
          <w:tcPr/>
          <w:p>
            <w:pPr>
              <w:pStyle w:val="Compact"/>
              <w:spacing w:line="240" w:lineRule="auto" w:before="20" w:after="20"/>
              <w:jc w:val="left"/>
            </w:pPr>
            <w:r>
              <w:rPr>
                <w:rFonts w:ascii="Times New Roman" w:hAnsi="Times New Roman"/>
                <w:sz w:val="20"/>
              </w:rPr>
              <w:t xml:space="preserve">−.03</w:t>
            </w:r>
          </w:p>
        </w:tc>
        <w:tc>
          <w:tcPr/>
          <w:p>
            <w:pPr>
              <w:pStyle w:val="Compact"/>
              <w:spacing w:line="240" w:lineRule="auto" w:before="20" w:after="20"/>
              <w:jc w:val="left"/>
            </w:pPr>
            <w:r>
              <w:rPr>
                <w:rFonts w:ascii="Times New Roman" w:hAnsi="Times New Roman"/>
                <w:sz w:val="20"/>
              </w:rPr>
              <w:t xml:space="preserve">.07</w:t>
            </w:r>
          </w:p>
        </w:tc>
        <w:tc>
          <w:tcPr/>
          <w:p>
            <w:pPr>
              <w:pStyle w:val="Compact"/>
              <w:spacing w:line="240" w:lineRule="auto" w:before="20" w:after="20"/>
              <w:jc w:val="left"/>
            </w:pPr>
            <w:r>
              <w:rPr>
                <w:rFonts w:ascii="Times New Roman" w:hAnsi="Times New Roman"/>
                <w:sz w:val="20"/>
              </w:rPr>
              <w:t xml:space="preserve">−.13</w:t>
            </w:r>
          </w:p>
        </w:tc>
        <w:tc>
          <w:tcPr/>
          <w:p>
            <w:pPr>
              <w:pStyle w:val="Compact"/>
              <w:spacing w:line="240" w:lineRule="auto" w:before="20" w:after="20"/>
              <w:jc w:val="left"/>
            </w:pPr>
            <w:r>
              <w:rPr>
                <w:rFonts w:ascii="Times New Roman" w:hAnsi="Times New Roman"/>
                <w:sz w:val="20"/>
              </w:rPr>
              <w:t xml:space="preserve">.05</w:t>
            </w:r>
          </w:p>
        </w:tc>
        <w:tc>
          <w:tcPr/>
          <w:p>
            <w:pPr>
              <w:pStyle w:val="Compact"/>
              <w:spacing w:line="240" w:lineRule="auto" w:before="20" w:after="20"/>
              <w:jc w:val="left"/>
            </w:pPr>
            <w:r>
              <w:rPr>
                <w:rFonts w:ascii="Times New Roman" w:hAnsi="Times New Roman"/>
                <w:sz w:val="20"/>
              </w:rPr>
              <w:t xml:space="preserve">.52</w:t>
            </w:r>
          </w:p>
        </w:tc>
        <w:tc>
          <w:tcPr/>
          <w:p>
            <w:pPr>
              <w:pStyle w:val="Compact"/>
              <w:spacing w:line="240" w:lineRule="auto" w:before="20" w:after="20"/>
              <w:jc w:val="left"/>
            </w:pPr>
            <w:r>
              <w:rPr>
                <w:rFonts w:ascii="Times New Roman" w:hAnsi="Times New Roman"/>
                <w:sz w:val="20"/>
              </w:rPr>
              <w:t xml:space="preserve">—</w:t>
            </w:r>
          </w:p>
        </w:tc>
        <w:tc>
          <w:tcPr/>
          <w:p>
            <w:pPr>
              <w:pStyle w:val="Compact"/>
              <w:spacing w:line="240" w:lineRule="auto" w:before="20" w:after="20"/>
            </w:pPr>
          </w:p>
        </w:tc>
      </w:tr>
      <w:tr>
        <w:tc>
          <w:tcPr/>
          <w:p>
            <w:pPr>
              <w:pStyle w:val="Compact"/>
              <w:spacing w:line="240" w:lineRule="auto" w:before="20" w:after="20"/>
              <w:jc w:val="left"/>
            </w:pPr>
            <w:r>
              <w:rPr>
                <w:rFonts w:ascii="Times New Roman" w:hAnsi="Times New Roman"/>
                <w:sz w:val="20"/>
              </w:rPr>
              <w:t xml:space="preserve">SDR-5 Total</w:t>
            </w:r>
          </w:p>
        </w:tc>
        <w:tc>
          <w:tcPr/>
          <w:p>
            <w:pPr>
              <w:pStyle w:val="Compact"/>
              <w:spacing w:line="240" w:lineRule="auto" w:before="20" w:after="20"/>
              <w:jc w:val="left"/>
            </w:pPr>
            <w:r>
              <w:rPr>
                <w:rFonts w:ascii="Times New Roman" w:hAnsi="Times New Roman"/>
                <w:sz w:val="20"/>
              </w:rPr>
              <w:t xml:space="preserve">−.02</w:t>
            </w:r>
          </w:p>
        </w:tc>
        <w:tc>
          <w:tcPr/>
          <w:p>
            <w:pPr>
              <w:pStyle w:val="Compact"/>
              <w:spacing w:line="240" w:lineRule="auto" w:before="20" w:after="20"/>
              <w:jc w:val="left"/>
            </w:pPr>
            <w:r>
              <w:rPr>
                <w:rFonts w:ascii="Times New Roman" w:hAnsi="Times New Roman"/>
                <w:sz w:val="20"/>
              </w:rPr>
              <w:t xml:space="preserve">.01</w:t>
            </w:r>
          </w:p>
        </w:tc>
        <w:tc>
          <w:tcPr/>
          <w:p>
            <w:pPr>
              <w:pStyle w:val="Compact"/>
              <w:spacing w:line="240" w:lineRule="auto" w:before="20" w:after="20"/>
              <w:jc w:val="left"/>
            </w:pPr>
            <w:r>
              <w:rPr>
                <w:rFonts w:ascii="Times New Roman" w:hAnsi="Times New Roman"/>
                <w:sz w:val="20"/>
              </w:rPr>
              <w:t xml:space="preserve">−.05</w:t>
            </w:r>
          </w:p>
        </w:tc>
        <w:tc>
          <w:tcPr/>
          <w:p>
            <w:pPr>
              <w:pStyle w:val="Compact"/>
              <w:spacing w:line="240" w:lineRule="auto" w:before="20" w:after="20"/>
              <w:jc w:val="left"/>
            </w:pPr>
            <w:r>
              <w:rPr>
                <w:rFonts w:ascii="Times New Roman" w:hAnsi="Times New Roman"/>
                <w:sz w:val="20"/>
              </w:rPr>
              <w:t xml:space="preserve">.03</w:t>
            </w:r>
          </w:p>
        </w:tc>
        <w:tc>
          <w:tcPr/>
          <w:p>
            <w:pPr>
              <w:pStyle w:val="Compact"/>
              <w:spacing w:line="240" w:lineRule="auto" w:before="20" w:after="20"/>
              <w:jc w:val="left"/>
            </w:pPr>
            <w:r>
              <w:rPr>
                <w:rFonts w:ascii="Times New Roman" w:hAnsi="Times New Roman"/>
                <w:sz w:val="20"/>
              </w:rPr>
              <w:t xml:space="preserve">−.19</w:t>
            </w:r>
          </w:p>
        </w:tc>
        <w:tc>
          <w:tcPr/>
          <w:p>
            <w:pPr>
              <w:pStyle w:val="Compact"/>
              <w:spacing w:line="240" w:lineRule="auto" w:before="20" w:after="20"/>
              <w:jc w:val="left"/>
            </w:pPr>
            <w:r>
              <w:rPr>
                <w:rFonts w:ascii="Times New Roman" w:hAnsi="Times New Roman"/>
                <w:sz w:val="20"/>
              </w:rPr>
              <w:t xml:space="preserve">−.15</w:t>
            </w:r>
          </w:p>
        </w:tc>
        <w:tc>
          <w:tcPr/>
          <w:p>
            <w:pPr>
              <w:pStyle w:val="Compact"/>
              <w:spacing w:line="240" w:lineRule="auto" w:before="20" w:after="20"/>
              <w:jc w:val="left"/>
            </w:pPr>
            <w:r>
              <w:rPr>
                <w:rFonts w:ascii="Times New Roman" w:hAnsi="Times New Roman"/>
                <w:sz w:val="20"/>
              </w:rPr>
              <w:t xml:space="preserve">—</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Pairwise complete observations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276–287). HPT POP is reverse-scored. KN = historical knowledge (0–6 sum); FR-LF = right-authoritarian ideology (1–5); KSA-3 = authoritarianism (1–5); SDR-5 = social desirability (1–5).</w:t>
      </w:r>
    </w:p>
    <w:bookmarkEnd w:id="45"/>
    <w:bookmarkStart w:id="46" w:name="descriptive-statistics"/>
    <w:p>
      <w:pPr>
        <w:pStyle w:val="Heading3"/>
        <w:spacing w:line="480" w:lineRule="auto"/>
      </w:pPr>
      <w:r>
        <w:rPr>
          <w:rFonts w:ascii="Times New Roman" w:hAnsi="Times New Roman"/>
        </w:rPr>
        <w:t xml:space="preserve">4.9 Descriptive Statistics</w:t>
      </w:r>
    </w:p>
    <w:p>
      <w:pPr>
        <w:pStyle w:val="FirstParagraph"/>
        <w:spacing w:line="480" w:lineRule="auto"/>
      </w:pPr>
      <w:r>
        <w:rPr>
          <w:rFonts w:ascii="Times New Roman" w:hAnsi="Times New Roman"/>
        </w:rPr>
        <w:t xml:space="preserve">Table 7 presents descriptive statistics. HPT scores followed the expected developmental ordering (POP_rev &gt; ROA &gt; CONT), with contextualization producing the lowest scores (</w:t>
      </w:r>
      <w:r>
        <w:rPr>
          <w:iCs/>
          <w:rFonts w:ascii="Times New Roman" w:hAnsi="Times New Roman"/>
          <w:i/>
        </w:rPr>
        <w:t xml:space="preserve">M</w:t>
      </w:r>
      <w:r>
        <w:rPr>
          <w:rFonts w:ascii="Times New Roman" w:hAnsi="Times New Roman"/>
        </w:rPr>
        <w:t xml:space="preserve"> </w:t>
      </w:r>
      <w:r>
        <w:rPr>
          <w:rFonts w:ascii="Times New Roman" w:hAnsi="Times New Roman"/>
        </w:rPr>
        <w:t xml:space="preserve">= 2.71). Ideology scores were below the scale midpoint (FR-LF:</w:t>
      </w:r>
      <w:r>
        <w:rPr>
          <w:rFonts w:ascii="Times New Roman" w:hAnsi="Times New Roman"/>
        </w:rPr>
        <w:t xml:space="preserve"> </w:t>
      </w:r>
      <w:r>
        <w:rPr>
          <w:iCs/>
          <w:rFonts w:ascii="Times New Roman" w:hAnsi="Times New Roman"/>
          <w:i/>
        </w:rPr>
        <w:t xml:space="preserve">M</w:t>
      </w:r>
      <w:r>
        <w:rPr>
          <w:rFonts w:ascii="Times New Roman" w:hAnsi="Times New Roman"/>
        </w:rPr>
        <w:t xml:space="preserve"> </w:t>
      </w:r>
      <w:r>
        <w:rPr>
          <w:rFonts w:ascii="Times New Roman" w:hAnsi="Times New Roman"/>
        </w:rPr>
        <w:t xml:space="preserve">= 2.48; KSA:</w:t>
      </w:r>
      <w:r>
        <w:rPr>
          <w:rFonts w:ascii="Times New Roman" w:hAnsi="Times New Roman"/>
        </w:rPr>
        <w:t xml:space="preserve"> </w:t>
      </w:r>
      <w:r>
        <w:rPr>
          <w:iCs/>
          <w:rFonts w:ascii="Times New Roman" w:hAnsi="Times New Roman"/>
          <w:i/>
        </w:rPr>
        <w:t xml:space="preserve">M</w:t>
      </w:r>
      <w:r>
        <w:rPr>
          <w:rFonts w:ascii="Times New Roman" w:hAnsi="Times New Roman"/>
        </w:rPr>
        <w:t xml:space="preserve"> </w:t>
      </w:r>
      <w:r>
        <w:rPr>
          <w:rFonts w:ascii="Times New Roman" w:hAnsi="Times New Roman"/>
        </w:rPr>
        <w:t xml:space="preserve">= 2.86), reflecting the rarity of strong right-authoritarian endorsement in mainstream adolescent samples.</w:t>
      </w:r>
    </w:p>
    <w:p>
      <w:pPr>
        <w:pStyle w:val="BodyText"/>
        <w:spacing w:line="480" w:lineRule="auto"/>
      </w:pPr>
      <w:r>
        <w:rPr>
          <w:bCs/>
          <w:rFonts w:ascii="Times New Roman" w:hAnsi="Times New Roman"/>
          <w:b/>
        </w:rPr>
        <w:t xml:space="preserve">Table 7.</w:t>
      </w:r>
      <w:r>
        <w:rPr>
          <w:rFonts w:ascii="Times New Roman" w:hAnsi="Times New Roman"/>
        </w:rPr>
        <w:t xml:space="preserve"> </w:t>
      </w:r>
      <w:r>
        <w:rPr>
          <w:iCs/>
          <w:rFonts w:ascii="Times New Roman" w:hAnsi="Times New Roman"/>
          <w:i/>
        </w:rPr>
        <w:t xml:space="preserve">Descriptive Statistics for Study Variables</w:t>
      </w:r>
    </w:p>
    <w:tbl>
      <w:tblPr>
        <w:tblStyle w:val="Table"/>
        <w:tblW w:type="dxa" w:w="5943600"/>
        <w:tblLook w:firstRow="1" w:lastRow="0" w:firstColumn="0" w:lastColumn="0" w:noHBand="0" w:noVBand="0" w:val="0020"/>
        <w:jc w:val="start"/>
        <w:tblBorders>
          <w:top w:val="single" w:sz="4" w:space="0" w:color="000000"/>
          <w:bottom w:val="single" w:sz="4" w:space="0" w:color="000000"/>
          <w:left w:val="none" w:sz="0" w:space="0"/>
          <w:right w:val="none" w:sz="0" w:space="0"/>
          <w:insideV w:val="none" w:sz="0" w:space="0"/>
          <w:insideH w:val="none" w:sz="0" w:space="0"/>
        </w:tblBorders>
      </w:tblPr>
      <w:tblGrid>
        <w:gridCol w:w="1320"/>
        <w:gridCol w:w="1320"/>
        <w:gridCol w:w="1320"/>
        <w:gridCol w:w="1320"/>
        <w:gridCol w:w="1320"/>
        <w:gridCol w:w="1320"/>
      </w:tblGrid>
      <w:tr>
        <w:trPr>
          <w:tblHeader w:val="true"/>
        </w:trPr>
        <w:tc>
          <w:tcPr>
            <w:tcBorders>
              <w:bottom w:val="single" w:sz="4" w:space="0" w:color="000000"/>
            </w:tcBorders>
          </w:tcPr>
          <w:p>
            <w:pPr>
              <w:pStyle w:val="Compact"/>
              <w:spacing w:line="240" w:lineRule="auto" w:before="20" w:after="20"/>
              <w:jc w:val="left"/>
            </w:pPr>
            <w:r>
              <w:rPr>
                <w:rFonts w:ascii="Times New Roman" w:hAnsi="Times New Roman"/>
                <w:sz w:val="20"/>
              </w:rPr>
              <w:t xml:space="preserve">Variable</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n</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M</w:t>
            </w:r>
          </w:p>
        </w:tc>
        <w:tc>
          <w:tcPr>
            <w:tcBorders>
              <w:bottom w:val="single" w:sz="4" w:space="0" w:color="000000"/>
            </w:tcBorders>
          </w:tcPr>
          <w:p>
            <w:pPr>
              <w:pStyle w:val="Compact"/>
              <w:spacing w:line="240" w:lineRule="auto" w:before="20" w:after="20"/>
              <w:jc w:val="left"/>
            </w:pPr>
            <w:r>
              <w:rPr>
                <w:iCs/>
                <w:rFonts w:ascii="Times New Roman" w:hAnsi="Times New Roman"/>
                <w:i/>
                <w:sz w:val="20"/>
              </w:rPr>
              <w:t xml:space="preserve">SD</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Min</w:t>
            </w:r>
          </w:p>
        </w:tc>
        <w:tc>
          <w:tcPr>
            <w:tcBorders>
              <w:bottom w:val="single" w:sz="4" w:space="0" w:color="000000"/>
            </w:tcBorders>
          </w:tcPr>
          <w:p>
            <w:pPr>
              <w:pStyle w:val="Compact"/>
              <w:spacing w:line="240" w:lineRule="auto" w:before="20" w:after="20"/>
              <w:jc w:val="left"/>
            </w:pPr>
            <w:r>
              <w:rPr>
                <w:rFonts w:ascii="Times New Roman" w:hAnsi="Times New Roman"/>
                <w:sz w:val="20"/>
              </w:rPr>
              <w:t xml:space="preserve">Max</w:t>
            </w:r>
          </w:p>
        </w:tc>
      </w:tr>
      <w:tr>
        <w:tc>
          <w:tcPr/>
          <w:p>
            <w:pPr>
              <w:pStyle w:val="Compact"/>
              <w:spacing w:line="240" w:lineRule="auto" w:before="20" w:after="20"/>
              <w:jc w:val="left"/>
            </w:pPr>
            <w:r>
              <w:rPr>
                <w:rFonts w:ascii="Times New Roman" w:hAnsi="Times New Roman"/>
                <w:sz w:val="20"/>
              </w:rPr>
              <w:t xml:space="preserve">HPT POP (reversed)</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2.97</w:t>
            </w:r>
          </w:p>
        </w:tc>
        <w:tc>
          <w:tcPr/>
          <w:p>
            <w:pPr>
              <w:pStyle w:val="Compact"/>
              <w:spacing w:line="240" w:lineRule="auto" w:before="20" w:after="20"/>
              <w:jc w:val="left"/>
            </w:pPr>
            <w:r>
              <w:rPr>
                <w:rFonts w:ascii="Times New Roman" w:hAnsi="Times New Roman"/>
                <w:sz w:val="20"/>
              </w:rPr>
              <w:t xml:space="preserve">0.64</w:t>
            </w:r>
          </w:p>
        </w:tc>
        <w:tc>
          <w:tcPr/>
          <w:p>
            <w:pPr>
              <w:pStyle w:val="Compact"/>
              <w:spacing w:line="240" w:lineRule="auto" w:before="20" w:after="20"/>
              <w:jc w:val="left"/>
            </w:pPr>
            <w:r>
              <w:rPr>
                <w:rFonts w:ascii="Times New Roman" w:hAnsi="Times New Roman"/>
                <w:sz w:val="20"/>
              </w:rPr>
              <w:t xml:space="preserve">1.33</w:t>
            </w:r>
          </w:p>
        </w:tc>
        <w:tc>
          <w:tcPr/>
          <w:p>
            <w:pPr>
              <w:pStyle w:val="Compact"/>
              <w:spacing w:line="240" w:lineRule="auto" w:before="20" w:after="20"/>
              <w:jc w:val="left"/>
            </w:pPr>
            <w:r>
              <w:rPr>
                <w:rFonts w:ascii="Times New Roman" w:hAnsi="Times New Roman"/>
                <w:sz w:val="20"/>
              </w:rPr>
              <w:t xml:space="preserve">4.00</w:t>
            </w:r>
          </w:p>
        </w:tc>
      </w:tr>
      <w:tr>
        <w:tc>
          <w:tcPr/>
          <w:p>
            <w:pPr>
              <w:pStyle w:val="Compact"/>
              <w:spacing w:line="240" w:lineRule="auto" w:before="20" w:after="20"/>
              <w:jc w:val="left"/>
            </w:pPr>
            <w:r>
              <w:rPr>
                <w:rFonts w:ascii="Times New Roman" w:hAnsi="Times New Roman"/>
                <w:sz w:val="20"/>
              </w:rPr>
              <w:t xml:space="preserve">HPT ROA</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2.80</w:t>
            </w:r>
          </w:p>
        </w:tc>
        <w:tc>
          <w:tcPr/>
          <w:p>
            <w:pPr>
              <w:pStyle w:val="Compact"/>
              <w:spacing w:line="240" w:lineRule="auto" w:before="20" w:after="20"/>
              <w:jc w:val="left"/>
            </w:pPr>
            <w:r>
              <w:rPr>
                <w:rFonts w:ascii="Times New Roman" w:hAnsi="Times New Roman"/>
                <w:sz w:val="20"/>
              </w:rPr>
              <w:t xml:space="preserve">0.68</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4.00</w:t>
            </w:r>
          </w:p>
        </w:tc>
      </w:tr>
      <w:tr>
        <w:tc>
          <w:tcPr/>
          <w:p>
            <w:pPr>
              <w:pStyle w:val="Compact"/>
              <w:spacing w:line="240" w:lineRule="auto" w:before="20" w:after="20"/>
              <w:jc w:val="left"/>
            </w:pPr>
            <w:r>
              <w:rPr>
                <w:rFonts w:ascii="Times New Roman" w:hAnsi="Times New Roman"/>
                <w:sz w:val="20"/>
              </w:rPr>
              <w:t xml:space="preserve">HPT CONT</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2.71</w:t>
            </w:r>
          </w:p>
        </w:tc>
        <w:tc>
          <w:tcPr/>
          <w:p>
            <w:pPr>
              <w:pStyle w:val="Compact"/>
              <w:spacing w:line="240" w:lineRule="auto" w:before="20" w:after="20"/>
              <w:jc w:val="left"/>
            </w:pPr>
            <w:r>
              <w:rPr>
                <w:rFonts w:ascii="Times New Roman" w:hAnsi="Times New Roman"/>
                <w:sz w:val="20"/>
              </w:rPr>
              <w:t xml:space="preserve">0.74</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4.00</w:t>
            </w:r>
          </w:p>
        </w:tc>
      </w:tr>
      <w:tr>
        <w:tc>
          <w:tcPr/>
          <w:p>
            <w:pPr>
              <w:pStyle w:val="Compact"/>
              <w:spacing w:line="240" w:lineRule="auto" w:before="20" w:after="20"/>
              <w:jc w:val="left"/>
            </w:pPr>
            <w:r>
              <w:rPr>
                <w:rFonts w:ascii="Times New Roman" w:hAnsi="Times New Roman"/>
                <w:sz w:val="20"/>
              </w:rPr>
              <w:t xml:space="preserve">HPT CTX6 (primary)</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2.84</w:t>
            </w:r>
          </w:p>
        </w:tc>
        <w:tc>
          <w:tcPr/>
          <w:p>
            <w:pPr>
              <w:pStyle w:val="Compact"/>
              <w:spacing w:line="240" w:lineRule="auto" w:before="20" w:after="20"/>
              <w:jc w:val="left"/>
            </w:pPr>
            <w:r>
              <w:rPr>
                <w:rFonts w:ascii="Times New Roman" w:hAnsi="Times New Roman"/>
                <w:sz w:val="20"/>
              </w:rPr>
              <w:t xml:space="preserve">0.55</w:t>
            </w:r>
          </w:p>
        </w:tc>
        <w:tc>
          <w:tcPr/>
          <w:p>
            <w:pPr>
              <w:pStyle w:val="Compact"/>
              <w:spacing w:line="240" w:lineRule="auto" w:before="20" w:after="20"/>
              <w:jc w:val="left"/>
            </w:pPr>
            <w:r>
              <w:rPr>
                <w:rFonts w:ascii="Times New Roman" w:hAnsi="Times New Roman"/>
                <w:sz w:val="20"/>
              </w:rPr>
              <w:t xml:space="preserve">1.33</w:t>
            </w:r>
          </w:p>
        </w:tc>
        <w:tc>
          <w:tcPr/>
          <w:p>
            <w:pPr>
              <w:pStyle w:val="Compact"/>
              <w:spacing w:line="240" w:lineRule="auto" w:before="20" w:after="20"/>
              <w:jc w:val="left"/>
            </w:pPr>
            <w:r>
              <w:rPr>
                <w:rFonts w:ascii="Times New Roman" w:hAnsi="Times New Roman"/>
                <w:sz w:val="20"/>
              </w:rPr>
              <w:t xml:space="preserve">4.00</w:t>
            </w:r>
          </w:p>
        </w:tc>
      </w:tr>
      <w:tr>
        <w:tc>
          <w:tcPr/>
          <w:p>
            <w:pPr>
              <w:pStyle w:val="Compact"/>
              <w:spacing w:line="240" w:lineRule="auto" w:before="20" w:after="20"/>
              <w:jc w:val="left"/>
            </w:pPr>
            <w:r>
              <w:rPr>
                <w:rFonts w:ascii="Times New Roman" w:hAnsi="Times New Roman"/>
                <w:sz w:val="20"/>
              </w:rPr>
              <w:t xml:space="preserve">HPT TOT9</w:t>
            </w:r>
          </w:p>
        </w:tc>
        <w:tc>
          <w:tcPr/>
          <w:p>
            <w:pPr>
              <w:pStyle w:val="Compact"/>
              <w:spacing w:line="240" w:lineRule="auto" w:before="20" w:after="20"/>
              <w:jc w:val="left"/>
            </w:pPr>
            <w:r>
              <w:rPr>
                <w:rFonts w:ascii="Times New Roman" w:hAnsi="Times New Roman"/>
                <w:sz w:val="20"/>
              </w:rPr>
              <w:t xml:space="preserve">287</w:t>
            </w:r>
          </w:p>
        </w:tc>
        <w:tc>
          <w:tcPr/>
          <w:p>
            <w:pPr>
              <w:pStyle w:val="Compact"/>
              <w:spacing w:line="240" w:lineRule="auto" w:before="20" w:after="20"/>
              <w:jc w:val="left"/>
            </w:pPr>
            <w:r>
              <w:rPr>
                <w:rFonts w:ascii="Times New Roman" w:hAnsi="Times New Roman"/>
                <w:sz w:val="20"/>
              </w:rPr>
              <w:t xml:space="preserve">2.83</w:t>
            </w:r>
          </w:p>
        </w:tc>
        <w:tc>
          <w:tcPr/>
          <w:p>
            <w:pPr>
              <w:pStyle w:val="Compact"/>
              <w:spacing w:line="240" w:lineRule="auto" w:before="20" w:after="20"/>
              <w:jc w:val="left"/>
            </w:pPr>
            <w:r>
              <w:rPr>
                <w:rFonts w:ascii="Times New Roman" w:hAnsi="Times New Roman"/>
                <w:sz w:val="20"/>
              </w:rPr>
              <w:t xml:space="preserve">0.49</w:t>
            </w:r>
          </w:p>
        </w:tc>
        <w:tc>
          <w:tcPr/>
          <w:p>
            <w:pPr>
              <w:pStyle w:val="Compact"/>
              <w:spacing w:line="240" w:lineRule="auto" w:before="20" w:after="20"/>
              <w:jc w:val="left"/>
            </w:pPr>
            <w:r>
              <w:rPr>
                <w:rFonts w:ascii="Times New Roman" w:hAnsi="Times New Roman"/>
                <w:sz w:val="20"/>
              </w:rPr>
              <w:t xml:space="preserve">1.67</w:t>
            </w:r>
          </w:p>
        </w:tc>
        <w:tc>
          <w:tcPr/>
          <w:p>
            <w:pPr>
              <w:pStyle w:val="Compact"/>
              <w:spacing w:line="240" w:lineRule="auto" w:before="20" w:after="20"/>
              <w:jc w:val="left"/>
            </w:pPr>
            <w:r>
              <w:rPr>
                <w:rFonts w:ascii="Times New Roman" w:hAnsi="Times New Roman"/>
                <w:sz w:val="20"/>
              </w:rPr>
              <w:t xml:space="preserve">3.89</w:t>
            </w:r>
          </w:p>
        </w:tc>
      </w:tr>
      <w:tr>
        <w:tc>
          <w:tcPr/>
          <w:p>
            <w:pPr>
              <w:pStyle w:val="Compact"/>
              <w:spacing w:line="240" w:lineRule="auto" w:before="20" w:after="20"/>
              <w:jc w:val="left"/>
            </w:pPr>
            <w:r>
              <w:rPr>
                <w:rFonts w:ascii="Times New Roman" w:hAnsi="Times New Roman"/>
                <w:sz w:val="20"/>
              </w:rPr>
              <w:t xml:space="preserve">KN Total (0–6)</w:t>
            </w:r>
          </w:p>
        </w:tc>
        <w:tc>
          <w:tcPr/>
          <w:p>
            <w:pPr>
              <w:pStyle w:val="Compact"/>
              <w:spacing w:line="240" w:lineRule="auto" w:before="20" w:after="20"/>
              <w:jc w:val="left"/>
            </w:pPr>
            <w:r>
              <w:rPr>
                <w:rFonts w:ascii="Times New Roman" w:hAnsi="Times New Roman"/>
                <w:sz w:val="20"/>
              </w:rPr>
              <w:t xml:space="preserve">293</w:t>
            </w:r>
          </w:p>
        </w:tc>
        <w:tc>
          <w:tcPr/>
          <w:p>
            <w:pPr>
              <w:pStyle w:val="Compact"/>
              <w:spacing w:line="240" w:lineRule="auto" w:before="20" w:after="20"/>
              <w:jc w:val="left"/>
            </w:pPr>
            <w:r>
              <w:rPr>
                <w:rFonts w:ascii="Times New Roman" w:hAnsi="Times New Roman"/>
                <w:sz w:val="20"/>
              </w:rPr>
              <w:t xml:space="preserve">3.04</w:t>
            </w:r>
          </w:p>
        </w:tc>
        <w:tc>
          <w:tcPr/>
          <w:p>
            <w:pPr>
              <w:pStyle w:val="Compact"/>
              <w:spacing w:line="240" w:lineRule="auto" w:before="20" w:after="20"/>
              <w:jc w:val="left"/>
            </w:pPr>
            <w:r>
              <w:rPr>
                <w:rFonts w:ascii="Times New Roman" w:hAnsi="Times New Roman"/>
                <w:sz w:val="20"/>
              </w:rPr>
              <w:t xml:space="preserve">1.62</w:t>
            </w:r>
          </w:p>
        </w:tc>
        <w:tc>
          <w:tcPr/>
          <w:p>
            <w:pPr>
              <w:pStyle w:val="Compact"/>
              <w:spacing w:line="240" w:lineRule="auto" w:before="20" w:after="20"/>
              <w:jc w:val="left"/>
            </w:pPr>
            <w:r>
              <w:rPr>
                <w:rFonts w:ascii="Times New Roman" w:hAnsi="Times New Roman"/>
                <w:sz w:val="20"/>
              </w:rPr>
              <w:t xml:space="preserve">0.00</w:t>
            </w:r>
          </w:p>
        </w:tc>
        <w:tc>
          <w:tcPr/>
          <w:p>
            <w:pPr>
              <w:pStyle w:val="Compact"/>
              <w:spacing w:line="240" w:lineRule="auto" w:before="20" w:after="20"/>
              <w:jc w:val="left"/>
            </w:pPr>
            <w:r>
              <w:rPr>
                <w:rFonts w:ascii="Times New Roman" w:hAnsi="Times New Roman"/>
                <w:sz w:val="20"/>
              </w:rPr>
              <w:t xml:space="preserve">6.00</w:t>
            </w:r>
          </w:p>
        </w:tc>
      </w:tr>
      <w:tr>
        <w:tc>
          <w:tcPr/>
          <w:p>
            <w:pPr>
              <w:pStyle w:val="Compact"/>
              <w:spacing w:line="240" w:lineRule="auto" w:before="20" w:after="20"/>
              <w:jc w:val="left"/>
            </w:pPr>
            <w:r>
              <w:rPr>
                <w:rFonts w:ascii="Times New Roman" w:hAnsi="Times New Roman"/>
                <w:sz w:val="20"/>
              </w:rPr>
              <w:t xml:space="preserve">FR-LF RD</w:t>
            </w:r>
          </w:p>
        </w:tc>
        <w:tc>
          <w:tcPr/>
          <w:p>
            <w:pPr>
              <w:pStyle w:val="Compact"/>
              <w:spacing w:line="240" w:lineRule="auto" w:before="20" w:after="20"/>
              <w:jc w:val="left"/>
            </w:pPr>
            <w:r>
              <w:rPr>
                <w:rFonts w:ascii="Times New Roman" w:hAnsi="Times New Roman"/>
                <w:sz w:val="20"/>
              </w:rPr>
              <w:t xml:space="preserve">285</w:t>
            </w:r>
          </w:p>
        </w:tc>
        <w:tc>
          <w:tcPr/>
          <w:p>
            <w:pPr>
              <w:pStyle w:val="Compact"/>
              <w:spacing w:line="240" w:lineRule="auto" w:before="20" w:after="20"/>
              <w:jc w:val="left"/>
            </w:pPr>
            <w:r>
              <w:rPr>
                <w:rFonts w:ascii="Times New Roman" w:hAnsi="Times New Roman"/>
                <w:sz w:val="20"/>
              </w:rPr>
              <w:t xml:space="preserve">2.54</w:t>
            </w:r>
          </w:p>
        </w:tc>
        <w:tc>
          <w:tcPr/>
          <w:p>
            <w:pPr>
              <w:pStyle w:val="Compact"/>
              <w:spacing w:line="240" w:lineRule="auto" w:before="20" w:after="20"/>
              <w:jc w:val="left"/>
            </w:pPr>
            <w:r>
              <w:rPr>
                <w:rFonts w:ascii="Times New Roman" w:hAnsi="Times New Roman"/>
                <w:sz w:val="20"/>
              </w:rPr>
              <w:t xml:space="preserve">0.88</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5.00</w:t>
            </w:r>
          </w:p>
        </w:tc>
      </w:tr>
      <w:tr>
        <w:tc>
          <w:tcPr/>
          <w:p>
            <w:pPr>
              <w:pStyle w:val="Compact"/>
              <w:spacing w:line="240" w:lineRule="auto" w:before="20" w:after="20"/>
              <w:jc w:val="left"/>
            </w:pPr>
            <w:r>
              <w:rPr>
                <w:rFonts w:ascii="Times New Roman" w:hAnsi="Times New Roman"/>
                <w:sz w:val="20"/>
              </w:rPr>
              <w:t xml:space="preserve">FR-LF NS</w:t>
            </w:r>
          </w:p>
        </w:tc>
        <w:tc>
          <w:tcPr/>
          <w:p>
            <w:pPr>
              <w:pStyle w:val="Compact"/>
              <w:spacing w:line="240" w:lineRule="auto" w:before="20" w:after="20"/>
              <w:jc w:val="left"/>
            </w:pPr>
            <w:r>
              <w:rPr>
                <w:rFonts w:ascii="Times New Roman" w:hAnsi="Times New Roman"/>
                <w:sz w:val="20"/>
              </w:rPr>
              <w:t xml:space="preserve">286</w:t>
            </w:r>
          </w:p>
        </w:tc>
        <w:tc>
          <w:tcPr/>
          <w:p>
            <w:pPr>
              <w:pStyle w:val="Compact"/>
              <w:spacing w:line="240" w:lineRule="auto" w:before="20" w:after="20"/>
              <w:jc w:val="left"/>
            </w:pPr>
            <w:r>
              <w:rPr>
                <w:rFonts w:ascii="Times New Roman" w:hAnsi="Times New Roman"/>
                <w:sz w:val="20"/>
              </w:rPr>
              <w:t xml:space="preserve">2.43</w:t>
            </w:r>
          </w:p>
        </w:tc>
        <w:tc>
          <w:tcPr/>
          <w:p>
            <w:pPr>
              <w:pStyle w:val="Compact"/>
              <w:spacing w:line="240" w:lineRule="auto" w:before="20" w:after="20"/>
              <w:jc w:val="left"/>
            </w:pPr>
            <w:r>
              <w:rPr>
                <w:rFonts w:ascii="Times New Roman" w:hAnsi="Times New Roman"/>
                <w:sz w:val="20"/>
              </w:rPr>
              <w:t xml:space="preserve">0.89</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5.00</w:t>
            </w:r>
          </w:p>
        </w:tc>
      </w:tr>
      <w:tr>
        <w:tc>
          <w:tcPr/>
          <w:p>
            <w:pPr>
              <w:pStyle w:val="Compact"/>
              <w:spacing w:line="240" w:lineRule="auto" w:before="20" w:after="20"/>
              <w:jc w:val="left"/>
            </w:pPr>
            <w:r>
              <w:rPr>
                <w:rFonts w:ascii="Times New Roman" w:hAnsi="Times New Roman"/>
                <w:sz w:val="20"/>
              </w:rPr>
              <w:t xml:space="preserve">FR-LF Total</w:t>
            </w:r>
          </w:p>
        </w:tc>
        <w:tc>
          <w:tcPr/>
          <w:p>
            <w:pPr>
              <w:pStyle w:val="Compact"/>
              <w:spacing w:line="240" w:lineRule="auto" w:before="20" w:after="20"/>
              <w:jc w:val="left"/>
            </w:pPr>
            <w:r>
              <w:rPr>
                <w:rFonts w:ascii="Times New Roman" w:hAnsi="Times New Roman"/>
                <w:sz w:val="20"/>
              </w:rPr>
              <w:t xml:space="preserve">284</w:t>
            </w:r>
          </w:p>
        </w:tc>
        <w:tc>
          <w:tcPr/>
          <w:p>
            <w:pPr>
              <w:pStyle w:val="Compact"/>
              <w:spacing w:line="240" w:lineRule="auto" w:before="20" w:after="20"/>
              <w:jc w:val="left"/>
            </w:pPr>
            <w:r>
              <w:rPr>
                <w:rFonts w:ascii="Times New Roman" w:hAnsi="Times New Roman"/>
                <w:sz w:val="20"/>
              </w:rPr>
              <w:t xml:space="preserve">2.48</w:t>
            </w:r>
          </w:p>
        </w:tc>
        <w:tc>
          <w:tcPr/>
          <w:p>
            <w:pPr>
              <w:pStyle w:val="Compact"/>
              <w:spacing w:line="240" w:lineRule="auto" w:before="20" w:after="20"/>
              <w:jc w:val="left"/>
            </w:pPr>
            <w:r>
              <w:rPr>
                <w:rFonts w:ascii="Times New Roman" w:hAnsi="Times New Roman"/>
                <w:sz w:val="20"/>
              </w:rPr>
              <w:t xml:space="preserve">0.75</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5.00</w:t>
            </w:r>
          </w:p>
        </w:tc>
      </w:tr>
      <w:tr>
        <w:tc>
          <w:tcPr/>
          <w:p>
            <w:pPr>
              <w:pStyle w:val="Compact"/>
              <w:spacing w:line="240" w:lineRule="auto" w:before="20" w:after="20"/>
              <w:jc w:val="left"/>
            </w:pPr>
            <w:r>
              <w:rPr>
                <w:rFonts w:ascii="Times New Roman" w:hAnsi="Times New Roman"/>
                <w:sz w:val="20"/>
              </w:rPr>
              <w:t xml:space="preserve">KSA-3 Total</w:t>
            </w:r>
          </w:p>
        </w:tc>
        <w:tc>
          <w:tcPr/>
          <w:p>
            <w:pPr>
              <w:pStyle w:val="Compact"/>
              <w:spacing w:line="240" w:lineRule="auto" w:before="20" w:after="20"/>
              <w:jc w:val="left"/>
            </w:pPr>
            <w:r>
              <w:rPr>
                <w:rFonts w:ascii="Times New Roman" w:hAnsi="Times New Roman"/>
                <w:sz w:val="20"/>
              </w:rPr>
              <w:t xml:space="preserve">283</w:t>
            </w:r>
          </w:p>
        </w:tc>
        <w:tc>
          <w:tcPr/>
          <w:p>
            <w:pPr>
              <w:pStyle w:val="Compact"/>
              <w:spacing w:line="240" w:lineRule="auto" w:before="20" w:after="20"/>
              <w:jc w:val="left"/>
            </w:pPr>
            <w:r>
              <w:rPr>
                <w:rFonts w:ascii="Times New Roman" w:hAnsi="Times New Roman"/>
                <w:sz w:val="20"/>
              </w:rPr>
              <w:t xml:space="preserve">2.86</w:t>
            </w:r>
          </w:p>
        </w:tc>
        <w:tc>
          <w:tcPr/>
          <w:p>
            <w:pPr>
              <w:pStyle w:val="Compact"/>
              <w:spacing w:line="240" w:lineRule="auto" w:before="20" w:after="20"/>
              <w:jc w:val="left"/>
            </w:pPr>
            <w:r>
              <w:rPr>
                <w:rFonts w:ascii="Times New Roman" w:hAnsi="Times New Roman"/>
                <w:sz w:val="20"/>
              </w:rPr>
              <w:t xml:space="preserve">0.62</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5.00</w:t>
            </w:r>
          </w:p>
        </w:tc>
      </w:tr>
      <w:tr>
        <w:tc>
          <w:tcPr/>
          <w:p>
            <w:pPr>
              <w:pStyle w:val="Compact"/>
              <w:spacing w:line="240" w:lineRule="auto" w:before="20" w:after="20"/>
              <w:jc w:val="left"/>
            </w:pPr>
            <w:r>
              <w:rPr>
                <w:rFonts w:ascii="Times New Roman" w:hAnsi="Times New Roman"/>
                <w:sz w:val="20"/>
              </w:rPr>
              <w:t xml:space="preserve">SDR-5 Total</w:t>
            </w:r>
          </w:p>
        </w:tc>
        <w:tc>
          <w:tcPr/>
          <w:p>
            <w:pPr>
              <w:pStyle w:val="Compact"/>
              <w:spacing w:line="240" w:lineRule="auto" w:before="20" w:after="20"/>
              <w:jc w:val="left"/>
            </w:pPr>
            <w:r>
              <w:rPr>
                <w:rFonts w:ascii="Times New Roman" w:hAnsi="Times New Roman"/>
                <w:sz w:val="20"/>
              </w:rPr>
              <w:t xml:space="preserve">283</w:t>
            </w:r>
          </w:p>
        </w:tc>
        <w:tc>
          <w:tcPr/>
          <w:p>
            <w:pPr>
              <w:pStyle w:val="Compact"/>
              <w:spacing w:line="240" w:lineRule="auto" w:before="20" w:after="20"/>
              <w:jc w:val="left"/>
            </w:pPr>
            <w:r>
              <w:rPr>
                <w:rFonts w:ascii="Times New Roman" w:hAnsi="Times New Roman"/>
                <w:sz w:val="20"/>
              </w:rPr>
              <w:t xml:space="preserve">3.02</w:t>
            </w:r>
          </w:p>
        </w:tc>
        <w:tc>
          <w:tcPr/>
          <w:p>
            <w:pPr>
              <w:pStyle w:val="Compact"/>
              <w:spacing w:line="240" w:lineRule="auto" w:before="20" w:after="20"/>
              <w:jc w:val="left"/>
            </w:pPr>
            <w:r>
              <w:rPr>
                <w:rFonts w:ascii="Times New Roman" w:hAnsi="Times New Roman"/>
                <w:sz w:val="20"/>
              </w:rPr>
              <w:t xml:space="preserve">0.63</w:t>
            </w:r>
          </w:p>
        </w:tc>
        <w:tc>
          <w:tcPr/>
          <w:p>
            <w:pPr>
              <w:pStyle w:val="Compact"/>
              <w:spacing w:line="240" w:lineRule="auto" w:before="20" w:after="20"/>
              <w:jc w:val="left"/>
            </w:pPr>
            <w:r>
              <w:rPr>
                <w:rFonts w:ascii="Times New Roman" w:hAnsi="Times New Roman"/>
                <w:sz w:val="20"/>
              </w:rPr>
              <w:t xml:space="preserve">1.00</w:t>
            </w:r>
          </w:p>
        </w:tc>
        <w:tc>
          <w:tcPr/>
          <w:p>
            <w:pPr>
              <w:pStyle w:val="Compact"/>
              <w:spacing w:line="240" w:lineRule="auto" w:before="20" w:after="20"/>
              <w:jc w:val="left"/>
            </w:pPr>
            <w:r>
              <w:rPr>
                <w:rFonts w:ascii="Times New Roman" w:hAnsi="Times New Roman"/>
                <w:sz w:val="20"/>
              </w:rPr>
              <w:t xml:space="preserve">4.60</w:t>
            </w:r>
          </w:p>
        </w:tc>
      </w:tr>
    </w:tbl>
    <w:p>
      <w:pPr>
        <w:pStyle w:val="BodyText"/>
        <w:spacing w:line="480" w:lineRule="auto"/>
      </w:pPr>
      <w:r>
        <w:rPr>
          <w:iCs/>
          <w:rFonts w:ascii="Times New Roman" w:hAnsi="Times New Roman"/>
          <w:i/>
        </w:rPr>
        <w:t xml:space="preserve">Note.</w:t>
      </w:r>
      <w:r>
        <w:rPr>
          <w:rFonts w:ascii="Times New Roman" w:hAnsi="Times New Roman"/>
        </w:rPr>
        <w:t xml:space="preserve"> </w:t>
      </w:r>
      <w:r>
        <w:rPr>
          <w:rFonts w:ascii="Times New Roman" w:hAnsi="Times New Roman"/>
        </w:rPr>
        <w:t xml:space="preserve">HPT items scored on a 1–4 scale; POP items reverse-coded. FR-LF and KSA-3 scored on a 1–5 scale. KN scored as sum of correct responses (0–6).</w:t>
      </w:r>
    </w:p>
    <w:bookmarkEnd w:id="46"/>
    <w:bookmarkStart w:id="47" w:name="Xb56a8d637f680407cdf39dc4c94b346beec82fc"/>
    <w:p>
      <w:pPr>
        <w:pStyle w:val="Heading3"/>
        <w:spacing w:line="480" w:lineRule="auto"/>
      </w:pPr>
      <w:r>
        <w:rPr>
          <w:rFonts w:ascii="Times New Roman" w:hAnsi="Times New Roman"/>
        </w:rPr>
        <w:t xml:space="preserve">4.10 Substantive Context: Ideology-HPT Relationships</w:t>
      </w:r>
    </w:p>
    <w:p>
      <w:pPr>
        <w:pStyle w:val="FirstParagraph"/>
        <w:spacing w:line="480" w:lineRule="auto"/>
      </w:pPr>
      <w:r>
        <w:rPr>
          <w:rFonts w:ascii="Times New Roman" w:hAnsi="Times New Roman"/>
        </w:rPr>
        <w:t xml:space="preserve">Ideology was unrelated to HPT scores across all model specifications: FR-LF β = 0.012,</w:t>
      </w:r>
      <w:r>
        <w:rPr>
          <w:rFonts w:ascii="Times New Roman" w:hAnsi="Times New Roman"/>
        </w:rPr>
        <w:t xml:space="preserve"> </w:t>
      </w:r>
      <w:r>
        <w:rPr>
          <w:iCs/>
          <w:rFonts w:ascii="Times New Roman" w:hAnsi="Times New Roman"/>
          <w:i/>
        </w:rPr>
        <w:t xml:space="preserve">SE</w:t>
      </w:r>
      <w:r>
        <w:rPr>
          <w:rFonts w:ascii="Times New Roman" w:hAnsi="Times New Roman"/>
        </w:rPr>
        <w:t xml:space="preserve"> </w:t>
      </w:r>
      <w:r>
        <w:rPr>
          <w:rFonts w:ascii="Times New Roman" w:hAnsi="Times New Roman"/>
        </w:rPr>
        <w:t xml:space="preserve">= 0.067, 95% CI [−0.120, 0.143],</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 .863 for the primary outcome (HPT_CTX6). Historical knowledge was the only consistent predictor (β = 0.21–0.34,</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 </w:t>
      </w:r>
      <w:r>
        <w:rPr>
          <w:rFonts w:ascii="Times New Roman" w:hAnsi="Times New Roman"/>
        </w:rPr>
        <w:t xml:space="preserve">&lt; .001). Post hoc equivalence tests (TOST; SESOI = ± 0.20) confirmed that ideology effects are statistically ruled out as practically significant (all TOST</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s &lt; .003). The ideology coefficient remained non-significant across all sensitivity checks, including alternative HPT scoring composites, different ideology operationalizations, exclusion of high social desirability responders, random-slope models, and school fixed-effects specifications (all</w:t>
      </w:r>
      <w:r>
        <w:rPr>
          <w:rFonts w:ascii="Times New Roman" w:hAnsi="Times New Roman"/>
        </w:rPr>
        <w:t xml:space="preserve"> </w:t>
      </w:r>
      <w:r>
        <w:rPr>
          <w:iCs/>
          <w:rFonts w:ascii="Times New Roman" w:hAnsi="Times New Roman"/>
          <w:i/>
        </w:rPr>
        <w:t xml:space="preserve">p</w:t>
      </w:r>
      <w:r>
        <w:rPr>
          <w:rFonts w:ascii="Times New Roman" w:hAnsi="Times New Roman"/>
        </w:rPr>
        <w:t xml:space="preserve">s &gt; .43). These substantive findings complement the measurement evidence: the instrument not only measures equivalently across ideology groups (DIF, invariance) but also yields scores that are uncontaminated by political attitudes at the composite level.</w:t>
      </w:r>
    </w:p>
    <w:bookmarkEnd w:id="47"/>
    <w:bookmarkEnd w:id="48"/>
    <w:bookmarkStart w:id="57" w:name="discussion"/>
    <w:p>
      <w:pPr>
        <w:pStyle w:val="Heading2"/>
        <w:spacing w:line="480" w:lineRule="auto"/>
      </w:pPr>
      <w:r>
        <w:rPr>
          <w:rFonts w:ascii="Times New Roman" w:hAnsi="Times New Roman"/>
        </w:rPr>
        <w:t xml:space="preserve">5. Discussion</w:t>
      </w:r>
    </w:p>
    <w:bookmarkStart w:id="49" w:name="summary-of-findings"/>
    <w:p>
      <w:pPr>
        <w:pStyle w:val="Heading3"/>
        <w:spacing w:line="480" w:lineRule="auto"/>
      </w:pPr>
      <w:r>
        <w:rPr>
          <w:rFonts w:ascii="Times New Roman" w:hAnsi="Times New Roman"/>
        </w:rPr>
        <w:t xml:space="preserve">5.1 Summary of Findings</w:t>
      </w:r>
    </w:p>
    <w:p>
      <w:pPr>
        <w:pStyle w:val="FirstParagraph"/>
        <w:spacing w:line="480" w:lineRule="auto"/>
      </w:pPr>
      <w:r>
        <w:rPr>
          <w:rFonts w:ascii="Times New Roman" w:hAnsi="Times New Roman"/>
        </w:rPr>
        <w:t xml:space="preserve">This study provides the first psychometric evaluation of a Czech adaptation of the Hartmann and Hasselhorn HPT instrument and the first investigation of ideological fairness for any HPT measure. The Czech adaptation demonstrated the theorized three-factor structure with excellent model fit, acceptable reliability for three-item subscales, meaningful convergent validity with historical knowledge, and sensitivity to school-level variation. DIF analysis revealed no biased items, and multi-group CFA demonstrated full scalar measurement invariance across ideology groups. Historical knowledge was the only construct that predicted HPT scores; political ideology, authoritarianism, and social desirability were all unrelated.</w:t>
      </w:r>
    </w:p>
    <w:bookmarkEnd w:id="49"/>
    <w:bookmarkStart w:id="50" w:name="X5ad645faaf653d428171629632e23d26efac5db"/>
    <w:p>
      <w:pPr>
        <w:pStyle w:val="Heading3"/>
        <w:spacing w:line="480" w:lineRule="auto"/>
      </w:pPr>
      <w:r>
        <w:rPr>
          <w:rFonts w:ascii="Times New Roman" w:hAnsi="Times New Roman"/>
        </w:rPr>
        <w:t xml:space="preserve">5.2 Factor Structure Confirms the Three-Level HPT Model</w:t>
      </w:r>
    </w:p>
    <w:p>
      <w:pPr>
        <w:pStyle w:val="FirstParagraph"/>
        <w:spacing w:line="480" w:lineRule="auto"/>
      </w:pPr>
      <w:r>
        <w:rPr>
          <w:rFonts w:ascii="Times New Roman" w:hAnsi="Times New Roman"/>
        </w:rPr>
        <w:t xml:space="preserve">The three-factor model (POP, ROA, CONT) fit substantially better than alternatives, confirming that the Czech adaptation preserves the dimensional structure of the original German instrument. This replication in a linguistically and educationally distinct context strengthens the claim that Hartmann and Hasselhorn’s developmental model captures a generalizable feature of historical reasoning</w:t>
      </w:r>
      <w:r>
        <w:rPr>
          <w:rFonts w:ascii="Times New Roman" w:hAnsi="Times New Roman"/>
        </w:rPr>
        <w:t xml:space="preserve"> </w:t>
      </w:r>
      <w:r>
        <w:rPr>
          <w:rFonts w:ascii="Times New Roman" w:hAnsi="Times New Roman"/>
        </w:rPr>
        <w:t xml:space="preserve">(Hambleton et al., 2005; International Test Commission, 2017)</w:t>
      </w:r>
      <w:r>
        <w:rPr>
          <w:rFonts w:ascii="Times New Roman" w:hAnsi="Times New Roman"/>
        </w:rPr>
        <w:t xml:space="preserve">. CONT items loaded most consistently (.61–.72), while POP2 and ROA2 showed weaker loadings (.30); these were retained for comparability but are candidates for revision in future adaptations.</w:t>
      </w:r>
    </w:p>
    <w:bookmarkEnd w:id="50"/>
    <w:bookmarkStart w:id="51" w:name="addressing-modest-reliability"/>
    <w:p>
      <w:pPr>
        <w:pStyle w:val="Heading3"/>
        <w:spacing w:line="480" w:lineRule="auto"/>
      </w:pPr>
      <w:r>
        <w:rPr>
          <w:rFonts w:ascii="Times New Roman" w:hAnsi="Times New Roman"/>
        </w:rPr>
        <w:t xml:space="preserve">5.3 Addressing Modest Reliability</w:t>
      </w:r>
    </w:p>
    <w:p>
      <w:pPr>
        <w:pStyle w:val="FirstParagraph"/>
        <w:spacing w:line="480" w:lineRule="auto"/>
      </w:pPr>
      <w:r>
        <w:rPr>
          <w:rFonts w:ascii="Times New Roman" w:hAnsi="Times New Roman"/>
        </w:rPr>
        <w:t xml:space="preserve">The subscale reliabilities (α = .47–.64; ω = .55–.69) fall below conventional benchmarks but are structurally constrained by the three-item design—a feature of the original instrument, not a deficiency of the Czech adaptation. With</w:t>
      </w:r>
      <w:r>
        <w:rPr>
          <w:rFonts w:ascii="Times New Roman" w:hAnsi="Times New Roman"/>
        </w:rPr>
        <w:t xml:space="preserve"> </w:t>
      </w:r>
      <w:r>
        <w:rPr>
          <w:iCs/>
          <w:rFonts w:ascii="Times New Roman" w:hAnsi="Times New Roman"/>
          <w:i/>
        </w:rPr>
        <w:t xml:space="preserve">k</w:t>
      </w:r>
      <w:r>
        <w:rPr>
          <w:rFonts w:ascii="Times New Roman" w:hAnsi="Times New Roman"/>
        </w:rPr>
        <w:t xml:space="preserve"> </w:t>
      </w:r>
      <w:r>
        <w:rPr>
          <w:rFonts w:ascii="Times New Roman" w:hAnsi="Times New Roman"/>
        </w:rPr>
        <w:t xml:space="preserve">= 3 and inter-item correlations of .22–.37, Spearman-Brown projections yield α = .64–.79 for six-item subscales. Despite modest reliability, the instrument detected theoretically expected knowledge–HPT relationships (r = .22–.34) and discriminated between HPT levels in the expected ordering. The disattenuated ideology–HPT correlation (</w:t>
      </w:r>
      <w:r>
        <w:rPr>
          <w:iCs/>
          <w:rFonts w:ascii="Times New Roman" w:hAnsi="Times New Roman"/>
          <w:i/>
        </w:rPr>
        <w:t xml:space="preserve">r</w:t>
      </w:r>
      <w:r>
        <w:rPr>
          <w:rFonts w:ascii="Times New Roman" w:hAnsi="Times New Roman"/>
        </w:rPr>
        <w:t xml:space="preserve"> </w:t>
      </w:r>
      <w:r>
        <w:rPr>
          <w:rFonts w:ascii="Times New Roman" w:hAnsi="Times New Roman"/>
        </w:rPr>
        <w:t xml:space="preserve">= -.065) confirms that even with perfect reliability, no meaningful ideology association would emerge. We recommend using composite scores (HPT_CTX6 or HPT_TOT9) rather than individual subscales for applied purposes.</w:t>
      </w:r>
    </w:p>
    <w:bookmarkEnd w:id="51"/>
    <w:bookmarkStart w:id="52" w:name="measurement-fairness-evidence"/>
    <w:p>
      <w:pPr>
        <w:pStyle w:val="Heading3"/>
        <w:spacing w:line="480" w:lineRule="auto"/>
      </w:pPr>
      <w:r>
        <w:rPr>
          <w:rFonts w:ascii="Times New Roman" w:hAnsi="Times New Roman"/>
        </w:rPr>
        <w:t xml:space="preserve">5.4 Measurement Fairness Evidence</w:t>
      </w:r>
    </w:p>
    <w:p>
      <w:pPr>
        <w:pStyle w:val="FirstParagraph"/>
        <w:spacing w:line="480" w:lineRule="auto"/>
      </w:pPr>
      <w:r>
        <w:rPr>
          <w:rFonts w:ascii="Times New Roman" w:hAnsi="Times New Roman"/>
        </w:rPr>
        <w:t xml:space="preserve">Full scalar invariance—confirmed through both the composite ideology grouping and the supplementary NS-only analysis—means that the HPT instrument imposes equivalent measurement demands on students regardless of their political attitudes. The DIF analysis complements this at the item level: no item exhibited differential functioning, which is particularly important for the CONT items most theoretically susceptible to ideological contamination. The convergent validity pattern—positive knowledge–HPT associations</w:t>
      </w:r>
      <w:r>
        <w:rPr>
          <w:rFonts w:ascii="Times New Roman" w:hAnsi="Times New Roman"/>
        </w:rPr>
        <w:t xml:space="preserve"> </w:t>
      </w:r>
      <w:r>
        <w:rPr>
          <w:rFonts w:ascii="Times New Roman" w:hAnsi="Times New Roman"/>
        </w:rPr>
        <w:t xml:space="preserve">(Chapman, 2021; Hartmann &amp; Hasselhorn, 2008; Wineburg, 2001)</w:t>
      </w:r>
      <w:r>
        <w:rPr>
          <w:rFonts w:ascii="Times New Roman" w:hAnsi="Times New Roman"/>
        </w:rPr>
        <w:t xml:space="preserve">, null ideology correlations, null social desirability correlations—constitutes convergent and discriminant evidence for the intended score interpretation</w:t>
      </w:r>
      <w:r>
        <w:rPr>
          <w:rFonts w:ascii="Times New Roman" w:hAnsi="Times New Roman"/>
        </w:rPr>
        <w:t xml:space="preserve"> </w:t>
      </w:r>
      <w:r>
        <w:rPr>
          <w:rFonts w:ascii="Times New Roman" w:hAnsi="Times New Roman"/>
        </w:rPr>
        <w:t xml:space="preserve">(American Educational Research Association et al., 2014; Messick, 1995)</w:t>
      </w:r>
      <w:r>
        <w:rPr>
          <w:rFonts w:ascii="Times New Roman" w:hAnsi="Times New Roman"/>
        </w:rPr>
        <w:t xml:space="preserve">.</w:t>
      </w:r>
    </w:p>
    <w:p>
      <w:pPr>
        <w:pStyle w:val="BodyText"/>
        <w:spacing w:line="480" w:lineRule="auto"/>
      </w:pPr>
      <w:r>
        <w:rPr>
          <w:rFonts w:ascii="Times New Roman" w:hAnsi="Times New Roman"/>
        </w:rPr>
        <w:t xml:space="preserve">The present fairness evidence applies to mainstream Czech adolescent samples with restricted ideological range. Users in contexts with greater political polarization should conduct their own DIF and invariance analyses before assuming equivalent measurement.</w:t>
      </w:r>
    </w:p>
    <w:bookmarkEnd w:id="52"/>
    <w:bookmarkStart w:id="53" w:name="implications-for-assessment-practice"/>
    <w:p>
      <w:pPr>
        <w:pStyle w:val="Heading3"/>
        <w:spacing w:line="480" w:lineRule="auto"/>
      </w:pPr>
      <w:r>
        <w:rPr>
          <w:rFonts w:ascii="Times New Roman" w:hAnsi="Times New Roman"/>
        </w:rPr>
        <w:t xml:space="preserve">5.5 Implications for Assessment Practice</w:t>
      </w:r>
    </w:p>
    <w:p>
      <w:pPr>
        <w:pStyle w:val="FirstParagraph"/>
        <w:spacing w:line="480" w:lineRule="auto"/>
      </w:pPr>
      <w:r>
        <w:rPr>
          <w:rFonts w:ascii="Times New Roman" w:hAnsi="Times New Roman"/>
        </w:rPr>
        <w:t xml:space="preserve">The core practical message is that politically charged assessment</w:t>
      </w:r>
      <w:r>
        <w:rPr>
          <w:rFonts w:ascii="Times New Roman" w:hAnsi="Times New Roman"/>
        </w:rPr>
        <w:t xml:space="preserve"> </w:t>
      </w:r>
      <w:r>
        <w:rPr>
          <w:rFonts w:ascii="Times New Roman" w:hAnsi="Times New Roman"/>
        </w:rPr>
        <w:t xml:space="preserve">content does not automatically introduce construct-irrelevant</w:t>
      </w:r>
      <w:r>
        <w:rPr>
          <w:rFonts w:ascii="Times New Roman" w:hAnsi="Times New Roman"/>
        </w:rPr>
        <w:t xml:space="preserve"> </w:t>
      </w:r>
      <w:r>
        <w:rPr>
          <w:rFonts w:ascii="Times New Roman" w:hAnsi="Times New Roman"/>
        </w:rPr>
        <w:t xml:space="preserve">variance. The evaluation protocol used here—CFA, DIF, MG-CFA, and</w:t>
      </w:r>
      <w:r>
        <w:rPr>
          <w:rFonts w:ascii="Times New Roman" w:hAnsi="Times New Roman"/>
        </w:rPr>
        <w:t xml:space="preserve"> </w:t>
      </w:r>
      <w:r>
        <w:rPr>
          <w:rFonts w:ascii="Times New Roman" w:hAnsi="Times New Roman"/>
        </w:rPr>
        <w:t xml:space="preserve">convergent/discriminant correlations—provides an evidence-based</w:t>
      </w:r>
      <w:r>
        <w:rPr>
          <w:rFonts w:ascii="Times New Roman" w:hAnsi="Times New Roman"/>
        </w:rPr>
        <w:t xml:space="preserve"> </w:t>
      </w:r>
      <w:r>
        <w:rPr>
          <w:rFonts w:ascii="Times New Roman" w:hAnsi="Times New Roman"/>
        </w:rPr>
        <w:t xml:space="preserve">model for evaluating fairness when assessment content intersects</w:t>
      </w:r>
      <w:r>
        <w:rPr>
          <w:rFonts w:ascii="Times New Roman" w:hAnsi="Times New Roman"/>
        </w:rPr>
        <w:t xml:space="preserve"> </w:t>
      </w:r>
      <w:r>
        <w:rPr>
          <w:rFonts w:ascii="Times New Roman" w:hAnsi="Times New Roman"/>
        </w:rPr>
        <w:t xml:space="preserve">with respondents’ attitudes. This protocol is not specific to HPT or</w:t>
      </w:r>
      <w:r>
        <w:rPr>
          <w:rFonts w:ascii="Times New Roman" w:hAnsi="Times New Roman"/>
        </w:rPr>
        <w:t xml:space="preserve"> </w:t>
      </w:r>
      <w:r>
        <w:rPr>
          <w:rFonts w:ascii="Times New Roman" w:hAnsi="Times New Roman"/>
        </w:rPr>
        <w:t xml:space="preserve">history education. It applies to any scenario-based assessment where</w:t>
      </w:r>
      <w:r>
        <w:rPr>
          <w:rFonts w:ascii="Times New Roman" w:hAnsi="Times New Roman"/>
        </w:rPr>
        <w:t xml:space="preserve"> </w:t>
      </w:r>
      <w:r>
        <w:rPr>
          <w:rFonts w:ascii="Times New Roman" w:hAnsi="Times New Roman"/>
        </w:rPr>
        <w:t xml:space="preserve">content carries attitudinal valence: moral reasoning instruments</w:t>
      </w:r>
      <w:r>
        <w:rPr>
          <w:rFonts w:ascii="Times New Roman" w:hAnsi="Times New Roman"/>
        </w:rPr>
        <w:t xml:space="preserve"> </w:t>
      </w:r>
      <w:r>
        <w:rPr>
          <w:rFonts w:ascii="Times New Roman" w:hAnsi="Times New Roman"/>
        </w:rPr>
        <w:t xml:space="preserve">using politically divisive dilemmas, science literacy assessments</w:t>
      </w:r>
      <w:r>
        <w:rPr>
          <w:rFonts w:ascii="Times New Roman" w:hAnsi="Times New Roman"/>
        </w:rPr>
        <w:t xml:space="preserve"> </w:t>
      </w:r>
      <w:r>
        <w:rPr>
          <w:rFonts w:ascii="Times New Roman" w:hAnsi="Times New Roman"/>
        </w:rPr>
        <w:t xml:space="preserve">touching evolution or climate change, and civic education</w:t>
      </w:r>
      <w:r>
        <w:rPr>
          <w:rFonts w:ascii="Times New Roman" w:hAnsi="Times New Roman"/>
        </w:rPr>
        <w:t xml:space="preserve"> </w:t>
      </w:r>
      <w:r>
        <w:rPr>
          <w:rFonts w:ascii="Times New Roman" w:hAnsi="Times New Roman"/>
        </w:rPr>
        <w:t xml:space="preserve">assessments involving controversial policies all face the same CIV</w:t>
      </w:r>
      <w:r>
        <w:rPr>
          <w:rFonts w:ascii="Times New Roman" w:hAnsi="Times New Roman"/>
        </w:rPr>
        <w:t xml:space="preserve"> </w:t>
      </w:r>
      <w:r>
        <w:rPr>
          <w:rFonts w:ascii="Times New Roman" w:hAnsi="Times New Roman"/>
        </w:rPr>
        <w:t xml:space="preserve">question. The general approach is to (1) identify the attitudinal</w:t>
      </w:r>
      <w:r>
        <w:rPr>
          <w:rFonts w:ascii="Times New Roman" w:hAnsi="Times New Roman"/>
        </w:rPr>
        <w:t xml:space="preserve"> </w:t>
      </w:r>
      <w:r>
        <w:rPr>
          <w:rFonts w:ascii="Times New Roman" w:hAnsi="Times New Roman"/>
        </w:rPr>
        <w:t xml:space="preserve">dimension theoretically most likely to produce CIV, (2) form</w:t>
      </w:r>
      <w:r>
        <w:rPr>
          <w:rFonts w:ascii="Times New Roman" w:hAnsi="Times New Roman"/>
        </w:rPr>
        <w:t xml:space="preserve"> </w:t>
      </w:r>
      <w:r>
        <w:rPr>
          <w:rFonts w:ascii="Times New Roman" w:hAnsi="Times New Roman"/>
        </w:rPr>
        <w:t xml:space="preserve">extreme groups on that dimension, (3) test DIF at the item level,</w:t>
      </w:r>
      <w:r>
        <w:rPr>
          <w:rFonts w:ascii="Times New Roman" w:hAnsi="Times New Roman"/>
        </w:rPr>
        <w:t xml:space="preserve"> </w:t>
      </w:r>
      <w:r>
        <w:rPr>
          <w:rFonts w:ascii="Times New Roman" w:hAnsi="Times New Roman"/>
        </w:rPr>
        <w:t xml:space="preserve">(4) test measurement invariance at the model level, and (5) examine</w:t>
      </w:r>
      <w:r>
        <w:rPr>
          <w:rFonts w:ascii="Times New Roman" w:hAnsi="Times New Roman"/>
        </w:rPr>
        <w:t xml:space="preserve"> </w:t>
      </w:r>
      <w:r>
        <w:rPr>
          <w:rFonts w:ascii="Times New Roman" w:hAnsi="Times New Roman"/>
        </w:rPr>
        <w:t xml:space="preserve">convergent and discriminant correlations to verify that construct</w:t>
      </w:r>
      <w:r>
        <w:rPr>
          <w:rFonts w:ascii="Times New Roman" w:hAnsi="Times New Roman"/>
        </w:rPr>
        <w:t xml:space="preserve"> </w:t>
      </w:r>
      <w:r>
        <w:rPr>
          <w:rFonts w:ascii="Times New Roman" w:hAnsi="Times New Roman"/>
        </w:rPr>
        <w:t xml:space="preserve">scores relate to theoretically expected variables and not to the</w:t>
      </w:r>
      <w:r>
        <w:rPr>
          <w:rFonts w:ascii="Times New Roman" w:hAnsi="Times New Roman"/>
        </w:rPr>
        <w:t xml:space="preserve"> </w:t>
      </w:r>
      <w:r>
        <w:rPr>
          <w:rFonts w:ascii="Times New Roman" w:hAnsi="Times New Roman"/>
        </w:rPr>
        <w:t xml:space="preserve">attitudinal dimension. The present null findings are informative</w:t>
      </w:r>
      <w:r>
        <w:rPr>
          <w:rFonts w:ascii="Times New Roman" w:hAnsi="Times New Roman"/>
        </w:rPr>
        <w:t xml:space="preserve"> </w:t>
      </w:r>
      <w:r>
        <w:rPr>
          <w:rFonts w:ascii="Times New Roman" w:hAnsi="Times New Roman"/>
        </w:rPr>
        <w:t xml:space="preserve">precisely because the Hartmann and Hasselhorn instrument was not</w:t>
      </w:r>
      <w:r>
        <w:rPr>
          <w:rFonts w:ascii="Times New Roman" w:hAnsi="Times New Roman"/>
        </w:rPr>
        <w:t xml:space="preserve"> </w:t>
      </w:r>
      <w:r>
        <w:rPr>
          <w:rFonts w:ascii="Times New Roman" w:hAnsi="Times New Roman"/>
        </w:rPr>
        <w:t xml:space="preserve">designed with explicit attention to CIV from ideology—the</w:t>
      </w:r>
      <w:r>
        <w:rPr>
          <w:rFonts w:ascii="Times New Roman" w:hAnsi="Times New Roman"/>
        </w:rPr>
        <w:t xml:space="preserve"> </w:t>
      </w:r>
      <w:r>
        <w:rPr>
          <w:rFonts w:ascii="Times New Roman" w:hAnsi="Times New Roman"/>
        </w:rPr>
        <w:t xml:space="preserve">measurement fairness is an emergent property of the structured</w:t>
      </w:r>
      <w:r>
        <w:rPr>
          <w:rFonts w:ascii="Times New Roman" w:hAnsi="Times New Roman"/>
        </w:rPr>
        <w:t xml:space="preserve"> </w:t>
      </w:r>
      <w:r>
        <w:rPr>
          <w:rFonts w:ascii="Times New Roman" w:hAnsi="Times New Roman"/>
        </w:rPr>
        <w:t xml:space="preserve">scenario-based item format, not a deliberate design choice.</w:t>
      </w:r>
    </w:p>
    <w:p>
      <w:pPr>
        <w:pStyle w:val="BodyText"/>
        <w:spacing w:line="480" w:lineRule="auto"/>
      </w:pPr>
      <w:r>
        <w:rPr>
          <w:rFonts w:ascii="Times New Roman" w:hAnsi="Times New Roman"/>
        </w:rPr>
        <w:t xml:space="preserve">Several design features may explain the instrument’s resistance to</w:t>
      </w:r>
      <w:r>
        <w:rPr>
          <w:rFonts w:ascii="Times New Roman" w:hAnsi="Times New Roman"/>
        </w:rPr>
        <w:t xml:space="preserve"> </w:t>
      </w:r>
      <w:r>
        <w:rPr>
          <w:rFonts w:ascii="Times New Roman" w:hAnsi="Times New Roman"/>
        </w:rPr>
        <w:t xml:space="preserve">attitudinal contamination: the scenario provides contextual</w:t>
      </w:r>
      <w:r>
        <w:rPr>
          <w:rFonts w:ascii="Times New Roman" w:hAnsi="Times New Roman"/>
        </w:rPr>
        <w:t xml:space="preserve"> </w:t>
      </w:r>
      <w:r>
        <w:rPr>
          <w:rFonts w:ascii="Times New Roman" w:hAnsi="Times New Roman"/>
        </w:rPr>
        <w:t xml:space="preserve">information that channels deliberative processing</w:t>
      </w:r>
      <w:r>
        <w:rPr>
          <w:rFonts w:ascii="Times New Roman" w:hAnsi="Times New Roman"/>
        </w:rPr>
        <w:t xml:space="preserve"> </w:t>
      </w:r>
      <w:r>
        <w:rPr>
          <w:rFonts w:ascii="Times New Roman" w:hAnsi="Times New Roman"/>
        </w:rPr>
        <w:t xml:space="preserve">(Evans &amp; Stanovich, 2013)</w:t>
      </w:r>
      <w:r>
        <w:rPr>
          <w:rFonts w:ascii="Times New Roman" w:hAnsi="Times New Roman"/>
        </w:rPr>
        <w:t xml:space="preserve">, the</w:t>
      </w:r>
      <w:r>
        <w:rPr>
          <w:rFonts w:ascii="Times New Roman" w:hAnsi="Times New Roman"/>
        </w:rPr>
        <w:t xml:space="preserve"> </w:t>
      </w:r>
      <w:r>
        <w:rPr>
          <w:rFonts w:ascii="Times New Roman" w:hAnsi="Times New Roman"/>
        </w:rPr>
        <w:t xml:space="preserve">Likert items require evaluating propositions about a historical</w:t>
      </w:r>
      <w:r>
        <w:rPr>
          <w:rFonts w:ascii="Times New Roman" w:hAnsi="Times New Roman"/>
        </w:rPr>
        <w:t xml:space="preserve"> </w:t>
      </w:r>
      <w:r>
        <w:rPr>
          <w:rFonts w:ascii="Times New Roman" w:hAnsi="Times New Roman"/>
        </w:rPr>
        <w:t xml:space="preserve">figure rather than expressing personal attitudes, and the school</w:t>
      </w:r>
      <w:r>
        <w:rPr>
          <w:rFonts w:ascii="Times New Roman" w:hAnsi="Times New Roman"/>
        </w:rPr>
        <w:t xml:space="preserve"> </w:t>
      </w:r>
      <w:r>
        <w:rPr>
          <w:rFonts w:ascii="Times New Roman" w:hAnsi="Times New Roman"/>
        </w:rPr>
        <w:t xml:space="preserve">assessment context may activate an academic frame. These hypotheses</w:t>
      </w:r>
      <w:r>
        <w:rPr>
          <w:rFonts w:ascii="Times New Roman" w:hAnsi="Times New Roman"/>
        </w:rPr>
        <w:t xml:space="preserve"> </w:t>
      </w:r>
      <w:r>
        <w:rPr>
          <w:rFonts w:ascii="Times New Roman" w:hAnsi="Times New Roman"/>
        </w:rPr>
        <w:t xml:space="preserve">warrant empirical verification across varied instruments and</w:t>
      </w:r>
      <w:r>
        <w:rPr>
          <w:rFonts w:ascii="Times New Roman" w:hAnsi="Times New Roman"/>
        </w:rPr>
        <w:t xml:space="preserve"> </w:t>
      </w:r>
      <w:r>
        <w:rPr>
          <w:rFonts w:ascii="Times New Roman" w:hAnsi="Times New Roman"/>
        </w:rPr>
        <w:t xml:space="preserve">contexts.</w:t>
      </w:r>
    </w:p>
    <w:bookmarkEnd w:id="53"/>
    <w:bookmarkStart w:id="54" w:name="limitations"/>
    <w:p>
      <w:pPr>
        <w:pStyle w:val="Heading3"/>
        <w:spacing w:line="480" w:lineRule="auto"/>
      </w:pPr>
      <w:r>
        <w:rPr>
          <w:rFonts w:ascii="Times New Roman" w:hAnsi="Times New Roman"/>
        </w:rPr>
        <w:t xml:space="preserve">5.6 Limitations</w:t>
      </w:r>
    </w:p>
    <w:p>
      <w:pPr>
        <w:pStyle w:val="FirstParagraph"/>
        <w:spacing w:line="480" w:lineRule="auto"/>
      </w:pPr>
      <w:r>
        <w:rPr>
          <w:rFonts w:ascii="Times New Roman" w:hAnsi="Times New Roman"/>
        </w:rPr>
        <w:t xml:space="preserve">Several limitations qualify these findings. First, the study uses a single country and scenario; whether the fairness findings generalize to other contexts remains to be established. Second, the ideological range was restricted (only 17.7% above the midpoint), so the DIF and invariance analyses compare moderately elevated to low ideology, not genuine political extremism. Third, DIF power was limited: with</w:t>
      </w:r>
      <w:r>
        <w:rPr>
          <w:rFonts w:ascii="Times New Roman" w:hAnsi="Times New Roman"/>
        </w:rPr>
        <w:t xml:space="preserve"> </w:t>
      </w:r>
      <w:r>
        <w:rPr>
          <w:iCs/>
          <w:rFonts w:ascii="Times New Roman" w:hAnsi="Times New Roman"/>
          <w:i/>
        </w:rPr>
        <w:t xml:space="preserve">n</w:t>
      </w:r>
      <w:r>
        <w:rPr>
          <w:rFonts w:ascii="Times New Roman" w:hAnsi="Times New Roman"/>
        </w:rPr>
        <w:t xml:space="preserve"> </w:t>
      </w:r>
      <w:r>
        <w:rPr>
          <w:rFonts w:ascii="Times New Roman" w:hAnsi="Times New Roman"/>
        </w:rPr>
        <w:t xml:space="preserve">≈ 96 per group, the analysis was powered primarily to detect moderate-to-large effects (Δβ ≥ 0.5 logits); weak DIF effects cannot be confidently excluded. Fourth, modest subscale reliability (α = .47–.64) constrains individual-level score interpretations; future adaptations should consider expanding subscale length. Fifth, all measures were self-report instruments administered in a single session, and the closed-ended Likert format may not generalize to open-ended HPT assessments where ideology could operate through different mechanisms</w:t>
      </w:r>
      <w:r>
        <w:rPr>
          <w:rFonts w:ascii="Times New Roman" w:hAnsi="Times New Roman"/>
        </w:rPr>
        <w:t xml:space="preserve"> </w:t>
      </w:r>
      <w:r>
        <w:rPr>
          <w:rFonts w:ascii="Times New Roman" w:hAnsi="Times New Roman"/>
        </w:rPr>
        <w:t xml:space="preserve">(Smith, 2017; Smith et al., 2018)</w:t>
      </w:r>
      <w:r>
        <w:rPr>
          <w:rFonts w:ascii="Times New Roman" w:hAnsi="Times New Roman"/>
        </w:rPr>
        <w:t xml:space="preserve">. Finally, the study lacks response process evidence—cognitive interviews or think-aloud data showing that Czech students engage disciplinary reasoning when responding to HPT items. This remains an important gap that future research should address.</w:t>
      </w:r>
    </w:p>
    <w:bookmarkEnd w:id="54"/>
    <w:bookmarkStart w:id="55" w:name="recommendations"/>
    <w:p>
      <w:pPr>
        <w:pStyle w:val="Heading3"/>
        <w:spacing w:line="480" w:lineRule="auto"/>
      </w:pPr>
      <w:r>
        <w:rPr>
          <w:rFonts w:ascii="Times New Roman" w:hAnsi="Times New Roman"/>
        </w:rPr>
        <w:t xml:space="preserve">5.7 Recommendations</w:t>
      </w:r>
    </w:p>
    <w:p>
      <w:pPr>
        <w:pStyle w:val="FirstParagraph"/>
        <w:spacing w:line="480" w:lineRule="auto"/>
      </w:pPr>
      <w:r>
        <w:rPr>
          <w:rFonts w:ascii="Times New Roman" w:hAnsi="Times New Roman"/>
        </w:rPr>
        <w:t xml:space="preserve">For researchers developing or adapting HPT instruments: (a) report ω alongside α for short subscales, with Spearman-Brown projections for context; (b) evaluate fairness through DIF and measurement invariance for theoretically relevant grouping variables; (c) consider revising weak-loading items (POP2, ROA2) while preserving the theoretical structure; (d) expand subscale length to improve reliability; and (e) replicate fairness evaluations across diverse samples, scenarios, and cultural contexts.</w:t>
      </w:r>
    </w:p>
    <w:bookmarkEnd w:id="55"/>
    <w:bookmarkStart w:id="56" w:name="conclusion"/>
    <w:p>
      <w:pPr>
        <w:pStyle w:val="Heading3"/>
        <w:spacing w:line="480" w:lineRule="auto"/>
      </w:pPr>
      <w:r>
        <w:rPr>
          <w:rFonts w:ascii="Times New Roman" w:hAnsi="Times New Roman"/>
        </w:rPr>
        <w:t xml:space="preserve">5.8 Conclusion</w:t>
      </w:r>
    </w:p>
    <w:p>
      <w:pPr>
        <w:pStyle w:val="FirstParagraph"/>
        <w:spacing w:line="480" w:lineRule="auto"/>
      </w:pPr>
      <w:r>
        <w:rPr>
          <w:rFonts w:ascii="Times New Roman" w:hAnsi="Times New Roman"/>
        </w:rPr>
        <w:t xml:space="preserve">This study provides initial evidence that the Czech adaptation of the Hartmann and Hasselhorn HPT instrument preserves the three-factor structure of the original, produces scores that relate to historical knowledge in theoretically expected ways, and functions with full measurement equivalence across students with different political attitudes. The absence of DIF and the achievement of scalar measurement invariance support the conclusion that the politically charged scenario content does not introduce construct-irrelevant variance in mainstream classroom settings. For the measurement community, the key finding is that structured scenario-based assessments can employ sensitive historical content without compromising fairness—provided that the instrument design channels disciplinary reasoning rather than attitudinal expression, and provided that fairness is verified empirically rather than assumed. The Czech HPT adaptation is now available for use in comparative research on historical reasoning, with the psychometric evidence reported here supporting its use in Czech educational contexts and its potential as a component of cross-national validation studies.</w:t>
      </w:r>
    </w:p>
    <w:bookmarkEnd w:id="56"/>
    <w:bookmarkEnd w:id="57"/>
    <w:bookmarkStart w:id="58" w:name="data-availability-statement"/>
    <w:p>
      <w:pPr>
        <w:pStyle w:val="Heading2"/>
        <w:spacing w:line="480" w:lineRule="auto"/>
      </w:pPr>
      <w:r>
        <w:rPr>
          <w:rFonts w:ascii="Times New Roman" w:hAnsi="Times New Roman"/>
        </w:rPr>
        <w:t xml:space="preserve">Data Availability Statement</w:t>
      </w:r>
    </w:p>
    <w:p>
      <w:pPr>
        <w:pStyle w:val="FirstParagraph"/>
        <w:spacing w:line="480" w:lineRule="auto"/>
      </w:pPr>
      <w:r>
        <w:rPr>
          <w:rFonts w:ascii="Times New Roman" w:hAnsi="Times New Roman"/>
        </w:rPr>
        <w:t xml:space="preserve">De-identified data, analysis scripts, the complete instrument battery (in Czech), and all deviations from the original instrument are available on the Open Science Framework ([BLINDED]). The study design, hypotheses, and analysis plan were preregistered on OSF prior to data collection.</w:t>
      </w:r>
    </w:p>
    <w:bookmarkEnd w:id="58"/>
    <w:bookmarkStart w:id="59" w:name="disclosure-statement"/>
    <w:p>
      <w:pPr>
        <w:pStyle w:val="Heading2"/>
        <w:spacing w:line="480" w:lineRule="auto"/>
      </w:pPr>
      <w:r>
        <w:rPr>
          <w:rFonts w:ascii="Times New Roman" w:hAnsi="Times New Roman"/>
        </w:rPr>
        <w:t xml:space="preserve">Disclosure Statement</w:t>
      </w:r>
    </w:p>
    <w:p>
      <w:pPr>
        <w:pStyle w:val="FirstParagraph"/>
        <w:spacing w:line="480" w:lineRule="auto"/>
      </w:pPr>
      <w:r>
        <w:rPr>
          <w:rFonts w:ascii="Times New Roman" w:hAnsi="Times New Roman"/>
        </w:rPr>
        <w:t xml:space="preserve">The author reports there are no competing interests to declare.</w:t>
      </w:r>
    </w:p>
    <w:bookmarkEnd w:id="59"/>
    <w:bookmarkStart w:id="60" w:name="ethics-statement"/>
    <w:p>
      <w:pPr>
        <w:pStyle w:val="Heading2"/>
        <w:spacing w:line="480" w:lineRule="auto"/>
      </w:pPr>
      <w:r>
        <w:rPr>
          <w:rFonts w:ascii="Times New Roman" w:hAnsi="Times New Roman"/>
        </w:rPr>
        <w:t xml:space="preserve">Ethics Statement</w:t>
      </w:r>
    </w:p>
    <w:p>
      <w:pPr>
        <w:pStyle w:val="FirstParagraph"/>
        <w:spacing w:line="480" w:lineRule="auto"/>
      </w:pPr>
      <w:r>
        <w:rPr>
          <w:rFonts w:ascii="Times New Roman" w:hAnsi="Times New Roman"/>
        </w:rPr>
        <w:t xml:space="preserve">This study involved secondary school students completing questionnaires during regular class periods. In the Czech Republic, ethics approval for non-interventional educational research involving anonymous questionnaires is not required by law. Participation was voluntary; students were informed about the study’s purpose and their right to decline participation without consequences. All responses were de-identified at the point of data entry. No personally identifiable information was collected or stored.</w:t>
      </w:r>
    </w:p>
    <w:bookmarkEnd w:id="60"/>
    <w:bookmarkStart w:id="61" w:name="funding"/>
    <w:p>
      <w:pPr>
        <w:pStyle w:val="Heading2"/>
        <w:spacing w:line="480" w:lineRule="auto"/>
      </w:pPr>
      <w:r>
        <w:rPr>
          <w:rFonts w:ascii="Times New Roman" w:hAnsi="Times New Roman"/>
        </w:rPr>
        <w:t xml:space="preserve">Funding</w:t>
      </w:r>
    </w:p>
    <w:p>
      <w:pPr>
        <w:pStyle w:val="FirstParagraph"/>
        <w:spacing w:line="480" w:lineRule="auto"/>
      </w:pPr>
      <w:r>
        <w:rPr>
          <w:rFonts w:ascii="Times New Roman" w:hAnsi="Times New Roman"/>
        </w:rPr>
        <w:t xml:space="preserve">This research received no specific grant from any funding agency in the public, commercial, or not-for-profit sectors.</w:t>
      </w:r>
    </w:p>
    <w:bookmarkEnd w:id="61"/>
    <w:bookmarkStart w:id="129" w:name="references"/>
    <w:p>
      <w:pPr>
        <w:pStyle w:val="Heading2"/>
        <w:spacing w:line="480" w:lineRule="auto"/>
      </w:pPr>
      <w:r>
        <w:rPr>
          <w:rFonts w:ascii="Times New Roman" w:hAnsi="Times New Roman"/>
        </w:rPr>
        <w:t xml:space="preserve">References</w:t>
      </w:r>
    </w:p>
    <w:bookmarkStart w:id="128" w:name="refs"/>
    <w:bookmarkStart w:id="63" w:name="ref-Alven2019"/>
    <w:p>
      <w:pPr>
        <w:pStyle w:val="Bibliography"/>
        <w:spacing w:line="480" w:lineRule="auto"/>
      </w:pPr>
      <w:r>
        <w:rPr>
          <w:rFonts w:ascii="Times New Roman" w:hAnsi="Times New Roman"/>
        </w:rPr>
        <w:t xml:space="preserve">Alvén, F. L. (2019). Bias in teachers’ assessments of students’ historical narratives.</w:t>
      </w:r>
      <w:r>
        <w:rPr>
          <w:rFonts w:ascii="Times New Roman" w:hAnsi="Times New Roman"/>
        </w:rPr>
        <w:t xml:space="preserve"> </w:t>
      </w:r>
      <w:r>
        <w:rPr>
          <w:iCs/>
          <w:rFonts w:ascii="Times New Roman" w:hAnsi="Times New Roman"/>
          <w:i/>
        </w:rPr>
        <w:t xml:space="preserve">History Education Research Journal</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16</w:t>
      </w:r>
      <w:r>
        <w:rPr>
          <w:rFonts w:ascii="Times New Roman" w:hAnsi="Times New Roman"/>
        </w:rPr>
        <w:t xml:space="preserve">(2).</w:t>
      </w:r>
      <w:r>
        <w:rPr>
          <w:rFonts w:ascii="Times New Roman" w:hAnsi="Times New Roman"/>
        </w:rPr>
        <w:t xml:space="preserve"> </w:t>
      </w:r>
      <w:hyperlink r:id="rId62">
        <w:r>
          <w:rPr>
            <w:rStyle w:val="Hyperlink"/>
          </w:rPr>
          <w:t xml:space="preserve">https://doi.org/10.18546/HERJ.16.2.10</w:t>
        </w:r>
      </w:hyperlink>
    </w:p>
    <w:bookmarkEnd w:id="63"/>
    <w:bookmarkStart w:id="65" w:name="ref-AERA2014"/>
    <w:p>
      <w:pPr>
        <w:pStyle w:val="Bibliography"/>
        <w:spacing w:line="480" w:lineRule="auto"/>
      </w:pPr>
      <w:r>
        <w:rPr>
          <w:rFonts w:ascii="Times New Roman" w:hAnsi="Times New Roman"/>
        </w:rPr>
        <w:t xml:space="preserve">American Educational Research Association, American Psychological Association, &amp; National Council on Measurement in Education. (2014).</w:t>
      </w:r>
      <w:r>
        <w:rPr>
          <w:rFonts w:ascii="Times New Roman" w:hAnsi="Times New Roman"/>
        </w:rPr>
        <w:t xml:space="preserve"> </w:t>
      </w:r>
      <w:r>
        <w:rPr>
          <w:iCs/>
          <w:rFonts w:ascii="Times New Roman" w:hAnsi="Times New Roman"/>
          <w:i/>
        </w:rPr>
        <w:t xml:space="preserve">Standards for educational and psychological testing</w:t>
      </w:r>
      <w:r>
        <w:rPr>
          <w:rFonts w:ascii="Times New Roman" w:hAnsi="Times New Roman"/>
        </w:rPr>
        <w:t xml:space="preserve">. American Educational Research Association.</w:t>
      </w:r>
      <w:r>
        <w:rPr>
          <w:rFonts w:ascii="Times New Roman" w:hAnsi="Times New Roman"/>
        </w:rPr>
        <w:t xml:space="preserve"> </w:t>
      </w:r>
      <w:hyperlink r:id="rId64">
        <w:r>
          <w:rPr>
            <w:rStyle w:val="Hyperlink"/>
          </w:rPr>
          <w:t xml:space="preserve">https://www.testingstandards.net/open-access-files.html</w:t>
        </w:r>
      </w:hyperlink>
    </w:p>
    <w:bookmarkEnd w:id="65"/>
    <w:bookmarkStart w:id="66" w:name="ref-Ashby1987"/>
    <w:p>
      <w:pPr>
        <w:pStyle w:val="Bibliography"/>
        <w:spacing w:line="480" w:lineRule="auto"/>
      </w:pPr>
      <w:r>
        <w:rPr>
          <w:rFonts w:ascii="Times New Roman" w:hAnsi="Times New Roman"/>
        </w:rPr>
        <w:t xml:space="preserve">Ashby, R., &amp; Lee, P. (1987). Children’s concepts of empathy and understanding in history. In</w:t>
      </w:r>
      <w:r>
        <w:rPr>
          <w:rFonts w:ascii="Times New Roman" w:hAnsi="Times New Roman"/>
        </w:rPr>
        <w:t xml:space="preserve"> </w:t>
      </w:r>
      <w:r>
        <w:rPr>
          <w:iCs/>
          <w:rFonts w:ascii="Times New Roman" w:hAnsi="Times New Roman"/>
          <w:i/>
        </w:rPr>
        <w:t xml:space="preserve">The history curriculum for teachers</w:t>
      </w:r>
      <w:r>
        <w:rPr>
          <w:rFonts w:ascii="Times New Roman" w:hAnsi="Times New Roman"/>
        </w:rPr>
        <w:t xml:space="preserve"> </w:t>
      </w:r>
      <w:r>
        <w:rPr>
          <w:rFonts w:ascii="Times New Roman" w:hAnsi="Times New Roman"/>
        </w:rPr>
        <w:t xml:space="preserve">(pp. 62–88). Falmer Press.</w:t>
      </w:r>
    </w:p>
    <w:bookmarkEnd w:id="66"/>
    <w:bookmarkStart w:id="68" w:name="ref-Badham2025"/>
    <w:p>
      <w:pPr>
        <w:pStyle w:val="Bibliography"/>
        <w:spacing w:line="480" w:lineRule="auto"/>
      </w:pPr>
      <w:r>
        <w:rPr>
          <w:rFonts w:ascii="Times New Roman" w:hAnsi="Times New Roman"/>
        </w:rPr>
        <w:t xml:space="preserve">Badham, L., Meadows, M., &amp; Baird, J.-A. (2025). Construct comparability and the limits of post hoc modeling: Insights from</w:t>
      </w:r>
      <w:r>
        <w:rPr>
          <w:rFonts w:ascii="Times New Roman" w:hAnsi="Times New Roman"/>
        </w:rPr>
        <w:t xml:space="preserve"> </w:t>
      </w:r>
      <w:r>
        <w:rPr>
          <w:rFonts w:ascii="Times New Roman" w:hAnsi="Times New Roman"/>
        </w:rPr>
        <w:t xml:space="preserve">International Baccalaureate</w:t>
      </w:r>
      <w:r>
        <w:rPr>
          <w:rFonts w:ascii="Times New Roman" w:hAnsi="Times New Roman"/>
        </w:rPr>
        <w:t xml:space="preserve"> </w:t>
      </w:r>
      <w:r>
        <w:rPr>
          <w:rFonts w:ascii="Times New Roman" w:hAnsi="Times New Roman"/>
        </w:rPr>
        <w:t xml:space="preserve">multi-language assessments.</w:t>
      </w:r>
      <w:r>
        <w:rPr>
          <w:rFonts w:ascii="Times New Roman" w:hAnsi="Times New Roman"/>
        </w:rPr>
        <w:t xml:space="preserve"> </w:t>
      </w:r>
      <w:r>
        <w:rPr>
          <w:iCs/>
          <w:rFonts w:ascii="Times New Roman" w:hAnsi="Times New Roman"/>
          <w:i/>
        </w:rPr>
        <w:t xml:space="preserve">Frontiers in Education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10</w:t>
      </w:r>
      <w:r>
        <w:rPr>
          <w:rFonts w:ascii="Times New Roman" w:hAnsi="Times New Roman"/>
        </w:rPr>
        <w:t xml:space="preserve">, 1616879.</w:t>
      </w:r>
      <w:r>
        <w:rPr>
          <w:rFonts w:ascii="Times New Roman" w:hAnsi="Times New Roman"/>
        </w:rPr>
        <w:t xml:space="preserve"> </w:t>
      </w:r>
      <w:hyperlink r:id="rId67">
        <w:r>
          <w:rPr>
            <w:rStyle w:val="Hyperlink"/>
          </w:rPr>
          <w:t xml:space="preserve">https://doi.org/10.3389/feduc.2025.1616879</w:t>
        </w:r>
      </w:hyperlink>
    </w:p>
    <w:bookmarkEnd w:id="68"/>
    <w:bookmarkStart w:id="69" w:name="ref-Beierlein2014"/>
    <w:p>
      <w:pPr>
        <w:pStyle w:val="Bibliography"/>
        <w:spacing w:line="480" w:lineRule="auto"/>
      </w:pPr>
      <w:r>
        <w:rPr>
          <w:rFonts w:ascii="Times New Roman" w:hAnsi="Times New Roman"/>
        </w:rPr>
        <w:t xml:space="preserve">Beierlein, C., Asbrock, F., Kauff, M., &amp; Schmidt, P. (2014).</w:t>
      </w:r>
      <w:r>
        <w:rPr>
          <w:rFonts w:ascii="Times New Roman" w:hAnsi="Times New Roman"/>
        </w:rPr>
        <w:t xml:space="preserve"> </w:t>
      </w:r>
      <w:r>
        <w:rPr>
          <w:iCs/>
          <w:rFonts w:ascii="Times New Roman" w:hAnsi="Times New Roman"/>
          <w:i/>
        </w:rPr>
        <w:t xml:space="preserve">Die</w:t>
      </w:r>
      <w:r>
        <w:rPr>
          <w:iCs/>
          <w:rFonts w:ascii="Times New Roman" w:hAnsi="Times New Roman"/>
          <w:i/>
        </w:rPr>
        <w:t xml:space="preserve"> </w:t>
      </w:r>
      <w:r>
        <w:rPr>
          <w:iCs/>
          <w:rFonts w:ascii="Times New Roman" w:hAnsi="Times New Roman"/>
          <w:i/>
        </w:rPr>
        <w:t xml:space="preserve">Kurzskala Autoritarismus</w:t>
      </w:r>
      <w:r>
        <w:rPr>
          <w:iCs/>
          <w:rFonts w:ascii="Times New Roman" w:hAnsi="Times New Roman"/>
          <w:i/>
        </w:rPr>
        <w:t xml:space="preserve"> </w:t>
      </w:r>
      <w:r>
        <w:rPr>
          <w:iCs/>
          <w:rFonts w:ascii="Times New Roman" w:hAnsi="Times New Roman"/>
          <w:i/>
        </w:rPr>
        <w:t xml:space="preserve">(</w:t>
      </w:r>
      <w:r>
        <w:rPr>
          <w:iCs/>
          <w:rFonts w:ascii="Times New Roman" w:hAnsi="Times New Roman"/>
          <w:i/>
        </w:rPr>
        <w:t xml:space="preserve">KSA-3</w:t>
      </w:r>
      <w:r>
        <w:rPr>
          <w:iCs/>
          <w:rFonts w:ascii="Times New Roman" w:hAnsi="Times New Roman"/>
          <w:i/>
        </w:rPr>
        <w:t xml:space="preserve">):</w:t>
      </w:r>
      <w:r>
        <w:rPr>
          <w:iCs/>
          <w:rFonts w:ascii="Times New Roman" w:hAnsi="Times New Roman"/>
          <w:i/>
        </w:rPr>
        <w:t xml:space="preserve"> </w:t>
      </w:r>
      <w:r>
        <w:rPr>
          <w:iCs/>
          <w:rFonts w:ascii="Times New Roman" w:hAnsi="Times New Roman"/>
          <w:i/>
        </w:rPr>
        <w:t xml:space="preserve">Ein</w:t>
      </w:r>
      <w:r>
        <w:rPr>
          <w:iCs/>
          <w:rFonts w:ascii="Times New Roman" w:hAnsi="Times New Roman"/>
          <w:i/>
        </w:rPr>
        <w:t xml:space="preserve"> </w:t>
      </w:r>
      <w:r>
        <w:rPr>
          <w:iCs/>
          <w:rFonts w:ascii="Times New Roman" w:hAnsi="Times New Roman"/>
          <w:i/>
        </w:rPr>
        <w:t xml:space="preserve">ö</w:t>
      </w:r>
      <w:r>
        <w:rPr>
          <w:iCs/>
          <w:rFonts w:ascii="Times New Roman" w:hAnsi="Times New Roman"/>
          <w:i/>
        </w:rPr>
        <w:t xml:space="preserve">konomisches</w:t>
      </w:r>
      <w:r>
        <w:rPr>
          <w:iCs/>
          <w:rFonts w:ascii="Times New Roman" w:hAnsi="Times New Roman"/>
          <w:i/>
        </w:rPr>
        <w:t xml:space="preserve"> </w:t>
      </w:r>
      <w:r>
        <w:rPr>
          <w:iCs/>
          <w:rFonts w:ascii="Times New Roman" w:hAnsi="Times New Roman"/>
          <w:i/>
        </w:rPr>
        <w:t xml:space="preserve">Messinstrument</w:t>
      </w:r>
      <w:r>
        <w:rPr>
          <w:iCs/>
          <w:rFonts w:ascii="Times New Roman" w:hAnsi="Times New Roman"/>
          <w:i/>
        </w:rPr>
        <w:t xml:space="preserve"> </w:t>
      </w:r>
      <w:r>
        <w:rPr>
          <w:iCs/>
          <w:rFonts w:ascii="Times New Roman" w:hAnsi="Times New Roman"/>
          <w:i/>
        </w:rPr>
        <w:t xml:space="preserve">zur</w:t>
      </w:r>
      <w:r>
        <w:rPr>
          <w:iCs/>
          <w:rFonts w:ascii="Times New Roman" w:hAnsi="Times New Roman"/>
          <w:i/>
        </w:rPr>
        <w:t xml:space="preserve"> </w:t>
      </w:r>
      <w:r>
        <w:rPr>
          <w:iCs/>
          <w:rFonts w:ascii="Times New Roman" w:hAnsi="Times New Roman"/>
          <w:i/>
        </w:rPr>
        <w:t xml:space="preserve">Erfassung</w:t>
      </w:r>
      <w:r>
        <w:rPr>
          <w:iCs/>
          <w:rFonts w:ascii="Times New Roman" w:hAnsi="Times New Roman"/>
          <w:i/>
        </w:rPr>
        <w:t xml:space="preserve"> </w:t>
      </w:r>
      <w:r>
        <w:rPr>
          <w:iCs/>
          <w:rFonts w:ascii="Times New Roman" w:hAnsi="Times New Roman"/>
          <w:i/>
        </w:rPr>
        <w:t xml:space="preserve">dreier</w:t>
      </w:r>
      <w:r>
        <w:rPr>
          <w:iCs/>
          <w:rFonts w:ascii="Times New Roman" w:hAnsi="Times New Roman"/>
          <w:i/>
        </w:rPr>
        <w:t xml:space="preserve"> </w:t>
      </w:r>
      <w:r>
        <w:rPr>
          <w:iCs/>
          <w:rFonts w:ascii="Times New Roman" w:hAnsi="Times New Roman"/>
          <w:i/>
        </w:rPr>
        <w:t xml:space="preserve">Subdimensionen</w:t>
      </w:r>
      <w:r>
        <w:rPr>
          <w:iCs/>
          <w:rFonts w:ascii="Times New Roman" w:hAnsi="Times New Roman"/>
          <w:i/>
        </w:rPr>
        <w:t xml:space="preserve"> </w:t>
      </w:r>
      <w:r>
        <w:rPr>
          <w:iCs/>
          <w:rFonts w:ascii="Times New Roman" w:hAnsi="Times New Roman"/>
          <w:i/>
        </w:rPr>
        <w:t xml:space="preserve">autorit</w:t>
      </w:r>
      <w:r>
        <w:rPr>
          <w:iCs/>
          <w:rFonts w:ascii="Times New Roman" w:hAnsi="Times New Roman"/>
          <w:i/>
        </w:rPr>
        <w:t xml:space="preserve">ä</w:t>
      </w:r>
      <w:r>
        <w:rPr>
          <w:iCs/>
          <w:rFonts w:ascii="Times New Roman" w:hAnsi="Times New Roman"/>
          <w:i/>
        </w:rPr>
        <w:t xml:space="preserve">rer</w:t>
      </w:r>
      <w:r>
        <w:rPr>
          <w:iCs/>
          <w:rFonts w:ascii="Times New Roman" w:hAnsi="Times New Roman"/>
          <w:i/>
        </w:rPr>
        <w:t xml:space="preserve"> </w:t>
      </w:r>
      <w:r>
        <w:rPr>
          <w:iCs/>
          <w:rFonts w:ascii="Times New Roman" w:hAnsi="Times New Roman"/>
          <w:i/>
        </w:rPr>
        <w:t xml:space="preserve">Einstellungen</w:t>
      </w:r>
      <w:r>
        <w:rPr>
          <w:rFonts w:ascii="Times New Roman" w:hAnsi="Times New Roman"/>
        </w:rPr>
        <w:t xml:space="preserve"> </w:t>
      </w:r>
      <w:r>
        <w:rPr>
          <w:rFonts w:ascii="Times New Roman" w:hAnsi="Times New Roman"/>
        </w:rPr>
        <w:t xml:space="preserve">({GESIS} Working Papers 2014/35).</w:t>
      </w:r>
      <w:r>
        <w:rPr>
          <w:rFonts w:ascii="Times New Roman" w:hAnsi="Times New Roman"/>
        </w:rPr>
        <w:t xml:space="preserve"> </w:t>
      </w:r>
      <w:r>
        <w:rPr>
          <w:rFonts w:ascii="Times New Roman" w:hAnsi="Times New Roman"/>
        </w:rPr>
        <w:t xml:space="preserve">GESIS</w:t>
      </w:r>
      <w:r>
        <w:rPr>
          <w:rFonts w:ascii="Times New Roman" w:hAnsi="Times New Roman"/>
        </w:rPr>
        <w:t xml:space="preserve"> </w:t>
      </w:r>
      <w:r>
        <w:rPr>
          <w:rFonts w:ascii="Times New Roman" w:hAnsi="Times New Roman"/>
        </w:rPr>
        <w:t xml:space="preserve">–</w:t>
      </w:r>
      <w:r>
        <w:rPr>
          <w:rFonts w:ascii="Times New Roman" w:hAnsi="Times New Roman"/>
        </w:rPr>
        <w:t xml:space="preserve"> </w:t>
      </w:r>
      <w:r>
        <w:rPr>
          <w:rFonts w:ascii="Times New Roman" w:hAnsi="Times New Roman"/>
        </w:rPr>
        <w:t xml:space="preserve">Leibniz-Institut</w:t>
      </w:r>
      <w:r>
        <w:rPr>
          <w:rFonts w:ascii="Times New Roman" w:hAnsi="Times New Roman"/>
        </w:rPr>
        <w:t xml:space="preserve"> </w:t>
      </w:r>
      <w:r>
        <w:rPr>
          <w:rFonts w:ascii="Times New Roman" w:hAnsi="Times New Roman"/>
        </w:rPr>
        <w:t xml:space="preserve">f</w:t>
      </w:r>
      <w:r>
        <w:rPr>
          <w:rFonts w:ascii="Times New Roman" w:hAnsi="Times New Roman"/>
        </w:rPr>
        <w:t xml:space="preserve">ü</w:t>
      </w:r>
      <w:r>
        <w:rPr>
          <w:rFonts w:ascii="Times New Roman" w:hAnsi="Times New Roman"/>
        </w:rPr>
        <w:t xml:space="preserve">r</w:t>
      </w:r>
      <w:r>
        <w:rPr>
          <w:rFonts w:ascii="Times New Roman" w:hAnsi="Times New Roman"/>
        </w:rPr>
        <w:t xml:space="preserve"> </w:t>
      </w:r>
      <w:r>
        <w:rPr>
          <w:rFonts w:ascii="Times New Roman" w:hAnsi="Times New Roman"/>
        </w:rPr>
        <w:t xml:space="preserve">Sozialwissenschaften</w:t>
      </w:r>
      <w:r>
        <w:rPr>
          <w:rFonts w:ascii="Times New Roman" w:hAnsi="Times New Roman"/>
        </w:rPr>
        <w:t xml:space="preserve">.</w:t>
      </w:r>
    </w:p>
    <w:bookmarkEnd w:id="69"/>
    <w:bookmarkStart w:id="71" w:name="ref-Breakstone2014"/>
    <w:p>
      <w:pPr>
        <w:pStyle w:val="Bibliography"/>
        <w:spacing w:line="480" w:lineRule="auto"/>
      </w:pPr>
      <w:r>
        <w:rPr>
          <w:rFonts w:ascii="Times New Roman" w:hAnsi="Times New Roman"/>
        </w:rPr>
        <w:t xml:space="preserve">Breakstone, J. (2014). Try, try, try again: The process of designing new history assessments.</w:t>
      </w:r>
      <w:r>
        <w:rPr>
          <w:rFonts w:ascii="Times New Roman" w:hAnsi="Times New Roman"/>
        </w:rPr>
        <w:t xml:space="preserve"> </w:t>
      </w:r>
      <w:r>
        <w:rPr>
          <w:iCs/>
          <w:rFonts w:ascii="Times New Roman" w:hAnsi="Times New Roman"/>
          <w:i/>
        </w:rPr>
        <w:t xml:space="preserve">Theory &amp; Research in Social Education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42</w:t>
      </w:r>
      <w:r>
        <w:rPr>
          <w:rFonts w:ascii="Times New Roman" w:hAnsi="Times New Roman"/>
        </w:rPr>
        <w:t xml:space="preserve">(4), 453–485.</w:t>
      </w:r>
      <w:r>
        <w:rPr>
          <w:rFonts w:ascii="Times New Roman" w:hAnsi="Times New Roman"/>
        </w:rPr>
        <w:t xml:space="preserve"> </w:t>
      </w:r>
      <w:hyperlink r:id="rId70">
        <w:r>
          <w:rPr>
            <w:rStyle w:val="Hyperlink"/>
          </w:rPr>
          <w:t xml:space="preserve">https://doi.org/10.1080/00933104.2014.965860</w:t>
        </w:r>
      </w:hyperlink>
    </w:p>
    <w:bookmarkEnd w:id="71"/>
    <w:bookmarkStart w:id="73" w:name="ref-Chapman2021"/>
    <w:p>
      <w:pPr>
        <w:pStyle w:val="Bibliography"/>
        <w:spacing w:line="480" w:lineRule="auto"/>
      </w:pPr>
      <w:r>
        <w:rPr>
          <w:rFonts w:ascii="Times New Roman" w:hAnsi="Times New Roman"/>
        </w:rPr>
        <w:t xml:space="preserve">Chapman, A. (2021). Introduction: Historical knowing and the</w:t>
      </w:r>
      <w:r>
        <w:rPr>
          <w:rFonts w:ascii="Times New Roman" w:hAnsi="Times New Roman"/>
        </w:rPr>
        <w:t xml:space="preserve"> </w:t>
      </w:r>
      <w:r>
        <w:rPr>
          <w:rFonts w:ascii="Times New Roman" w:hAnsi="Times New Roman"/>
        </w:rPr>
        <w:t xml:space="preserve">“knowledge turn.”</w:t>
      </w:r>
      <w:r>
        <w:rPr>
          <w:rFonts w:ascii="Times New Roman" w:hAnsi="Times New Roman"/>
        </w:rPr>
        <w:t xml:space="preserve"> </w:t>
      </w:r>
      <w:r>
        <w:rPr>
          <w:rFonts w:ascii="Times New Roman" w:hAnsi="Times New Roman"/>
        </w:rPr>
        <w:t xml:space="preserve">In A. Chapman (Ed.),</w:t>
      </w:r>
      <w:r>
        <w:rPr>
          <w:rFonts w:ascii="Times New Roman" w:hAnsi="Times New Roman"/>
        </w:rPr>
        <w:t xml:space="preserve"> </w:t>
      </w:r>
      <w:r>
        <w:rPr>
          <w:iCs/>
          <w:rFonts w:ascii="Times New Roman" w:hAnsi="Times New Roman"/>
          <w:i/>
        </w:rPr>
        <w:t xml:space="preserve">Knowing history in schools: Powerful knowledge and the powers of knowledge</w:t>
      </w:r>
      <w:r>
        <w:rPr>
          <w:rFonts w:ascii="Times New Roman" w:hAnsi="Times New Roman"/>
        </w:rPr>
        <w:t xml:space="preserve"> </w:t>
      </w:r>
      <w:r>
        <w:rPr>
          <w:rFonts w:ascii="Times New Roman" w:hAnsi="Times New Roman"/>
        </w:rPr>
        <w:t xml:space="preserve">(pp. 1–31). UCL Press.</w:t>
      </w:r>
      <w:r>
        <w:rPr>
          <w:rFonts w:ascii="Times New Roman" w:hAnsi="Times New Roman"/>
        </w:rPr>
        <w:t xml:space="preserve"> </w:t>
      </w:r>
      <w:hyperlink r:id="rId72">
        <w:r>
          <w:rPr>
            <w:rStyle w:val="Hyperlink"/>
          </w:rPr>
          <w:t xml:space="preserve">https://doi.org/10.14324/111.9781787357303</w:t>
        </w:r>
      </w:hyperlink>
    </w:p>
    <w:bookmarkEnd w:id="73"/>
    <w:bookmarkStart w:id="75" w:name="ref-Chen2007"/>
    <w:p>
      <w:pPr>
        <w:pStyle w:val="Bibliography"/>
        <w:spacing w:line="480" w:lineRule="auto"/>
      </w:pPr>
      <w:r>
        <w:rPr>
          <w:rFonts w:ascii="Times New Roman" w:hAnsi="Times New Roman"/>
        </w:rPr>
        <w:t xml:space="preserve">Chen, F. F. (2007). Sensitivity of goodness of fit indexes to lack of measurement invariance.</w:t>
      </w:r>
      <w:r>
        <w:rPr>
          <w:rFonts w:ascii="Times New Roman" w:hAnsi="Times New Roman"/>
        </w:rPr>
        <w:t xml:space="preserve"> </w:t>
      </w:r>
      <w:r>
        <w:rPr>
          <w:iCs/>
          <w:rFonts w:ascii="Times New Roman" w:hAnsi="Times New Roman"/>
          <w:i/>
        </w:rPr>
        <w:t xml:space="preserve">Structural Equation Modeling: A Multidisciplinary Journal</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14</w:t>
      </w:r>
      <w:r>
        <w:rPr>
          <w:rFonts w:ascii="Times New Roman" w:hAnsi="Times New Roman"/>
        </w:rPr>
        <w:t xml:space="preserve">(3), 464–504.</w:t>
      </w:r>
      <w:r>
        <w:rPr>
          <w:rFonts w:ascii="Times New Roman" w:hAnsi="Times New Roman"/>
        </w:rPr>
        <w:t xml:space="preserve"> </w:t>
      </w:r>
      <w:hyperlink r:id="rId74">
        <w:r>
          <w:rPr>
            <w:rStyle w:val="Hyperlink"/>
          </w:rPr>
          <w:t xml:space="preserve">https://doi.org/10.1080/10705510701301834</w:t>
        </w:r>
      </w:hyperlink>
    </w:p>
    <w:bookmarkEnd w:id="75"/>
    <w:bookmarkStart w:id="77" w:name="ref-Cheung2002"/>
    <w:p>
      <w:pPr>
        <w:pStyle w:val="Bibliography"/>
        <w:spacing w:line="480" w:lineRule="auto"/>
      </w:pPr>
      <w:r>
        <w:rPr>
          <w:rFonts w:ascii="Times New Roman" w:hAnsi="Times New Roman"/>
        </w:rPr>
        <w:t xml:space="preserve">Cheung, G. W., &amp; Rensvold, R. B. (2002). Evaluating goodness-of-fit indexes for testing measurement invariance.</w:t>
      </w:r>
      <w:r>
        <w:rPr>
          <w:rFonts w:ascii="Times New Roman" w:hAnsi="Times New Roman"/>
        </w:rPr>
        <w:t xml:space="preserve"> </w:t>
      </w:r>
      <w:r>
        <w:rPr>
          <w:iCs/>
          <w:rFonts w:ascii="Times New Roman" w:hAnsi="Times New Roman"/>
          <w:i/>
        </w:rPr>
        <w:t xml:space="preserve">Structural Equation Modeling: A Multidisciplinary Journal</w:t>
      </w:r>
      <w:r>
        <w:rPr>
          <w:rFonts w:ascii="Times New Roman" w:hAnsi="Times New Roman"/>
        </w:rPr>
        <w:t xml:space="preserve">,</w:t>
      </w:r>
      <w:r>
        <w:rPr>
          <w:rFonts w:ascii="Times New Roman" w:hAnsi="Times New Roman"/>
        </w:rPr>
        <w:t xml:space="preserve"> </w:t>
      </w:r>
      <w:r>
        <w:rPr>
          <w:iCs/>
          <w:rFonts w:ascii="Times New Roman" w:hAnsi="Times New Roman"/>
          <w:i/>
        </w:rPr>
        <w:t xml:space="preserve">9</w:t>
      </w:r>
      <w:r>
        <w:rPr>
          <w:rFonts w:ascii="Times New Roman" w:hAnsi="Times New Roman"/>
        </w:rPr>
        <w:t xml:space="preserve">(2), 233–255.</w:t>
      </w:r>
      <w:r>
        <w:rPr>
          <w:rFonts w:ascii="Times New Roman" w:hAnsi="Times New Roman"/>
        </w:rPr>
        <w:t xml:space="preserve"> </w:t>
      </w:r>
      <w:hyperlink r:id="rId76">
        <w:r>
          <w:rPr>
            <w:rStyle w:val="Hyperlink"/>
          </w:rPr>
          <w:t xml:space="preserve">https://doi.org/10.1207/S15328007SEM0902_5</w:t>
        </w:r>
      </w:hyperlink>
    </w:p>
    <w:bookmarkEnd w:id="77"/>
    <w:bookmarkStart w:id="78" w:name="ref-Cinatl2021"/>
    <w:p>
      <w:pPr>
        <w:pStyle w:val="Bibliography"/>
        <w:spacing w:line="480" w:lineRule="auto"/>
      </w:pPr>
      <w:r>
        <w:rPr>
          <w:rFonts w:ascii="Times New Roman" w:hAnsi="Times New Roman"/>
        </w:rPr>
        <w:t xml:space="preserve">Činátl, K., Najbert, J., &amp; Ripka, V. (2021). Historick</w:t>
      </w:r>
      <w:r>
        <w:rPr>
          <w:rFonts w:ascii="Times New Roman" w:hAnsi="Times New Roman"/>
        </w:rPr>
        <w:t xml:space="preserve">á</w:t>
      </w:r>
      <w:r>
        <w:rPr>
          <w:rFonts w:ascii="Times New Roman" w:hAnsi="Times New Roman"/>
        </w:rPr>
        <w:t xml:space="preserve"> </w:t>
      </w:r>
      <w:r>
        <w:rPr>
          <w:rFonts w:ascii="Times New Roman" w:hAnsi="Times New Roman"/>
        </w:rPr>
        <w:t xml:space="preserve">gramotnost v aplikaci</w:t>
      </w:r>
      <w:r>
        <w:rPr>
          <w:rFonts w:ascii="Times New Roman" w:hAnsi="Times New Roman"/>
        </w:rPr>
        <w:t xml:space="preserve"> </w:t>
      </w:r>
      <w:r>
        <w:rPr>
          <w:rFonts w:ascii="Times New Roman" w:hAnsi="Times New Roman"/>
        </w:rPr>
        <w:t xml:space="preserve">HistoryLab</w:t>
      </w:r>
      <w:r>
        <w:rPr>
          <w:rFonts w:ascii="Times New Roman" w:hAnsi="Times New Roman"/>
        </w:rPr>
        <w:t xml:space="preserve">—</w:t>
      </w:r>
      <w:r>
        <w:rPr>
          <w:rFonts w:ascii="Times New Roman" w:hAnsi="Times New Roman"/>
        </w:rPr>
        <w:t xml:space="preserve">Realistick</w:t>
      </w:r>
      <w:r>
        <w:rPr>
          <w:rFonts w:ascii="Times New Roman" w:hAnsi="Times New Roman"/>
        </w:rPr>
        <w:t xml:space="preserve">ý</w:t>
      </w:r>
      <w:r>
        <w:rPr>
          <w:rFonts w:ascii="Times New Roman" w:hAnsi="Times New Roman"/>
        </w:rPr>
        <w:t xml:space="preserve"> </w:t>
      </w:r>
      <w:r>
        <w:rPr>
          <w:rFonts w:ascii="Times New Roman" w:hAnsi="Times New Roman"/>
        </w:rPr>
        <w:t xml:space="preserve">p</w:t>
      </w:r>
      <w:r>
        <w:rPr>
          <w:rFonts w:ascii="Times New Roman" w:hAnsi="Times New Roman"/>
        </w:rPr>
        <w:t xml:space="preserve">ř</w:t>
      </w:r>
      <w:r>
        <w:rPr>
          <w:rFonts w:ascii="Times New Roman" w:hAnsi="Times New Roman"/>
        </w:rPr>
        <w:t xml:space="preserve">í</w:t>
      </w:r>
      <w:r>
        <w:rPr>
          <w:rFonts w:ascii="Times New Roman" w:hAnsi="Times New Roman"/>
        </w:rPr>
        <w:t xml:space="preserve">stup k osvojov</w:t>
      </w:r>
      <w:r>
        <w:rPr>
          <w:rFonts w:ascii="Times New Roman" w:hAnsi="Times New Roman"/>
        </w:rPr>
        <w:t xml:space="preserve">á</w:t>
      </w:r>
      <w:r>
        <w:rPr>
          <w:rFonts w:ascii="Times New Roman" w:hAnsi="Times New Roman"/>
        </w:rPr>
        <w:t xml:space="preserve">n</w:t>
      </w:r>
      <w:r>
        <w:rPr>
          <w:rFonts w:ascii="Times New Roman" w:hAnsi="Times New Roman"/>
        </w:rPr>
        <w:t xml:space="preserve">í</w:t>
      </w:r>
      <w:r>
        <w:rPr>
          <w:rFonts w:ascii="Times New Roman" w:hAnsi="Times New Roman"/>
        </w:rPr>
        <w:t xml:space="preserve"> </w:t>
      </w:r>
      <w:r>
        <w:rPr>
          <w:rFonts w:ascii="Times New Roman" w:hAnsi="Times New Roman"/>
        </w:rPr>
        <w:t xml:space="preserve">didaktick</w:t>
      </w:r>
      <w:r>
        <w:rPr>
          <w:rFonts w:ascii="Times New Roman" w:hAnsi="Times New Roman"/>
        </w:rPr>
        <w:t xml:space="preserve">é</w:t>
      </w:r>
      <w:r>
        <w:rPr>
          <w:rFonts w:ascii="Times New Roman" w:hAnsi="Times New Roman"/>
        </w:rPr>
        <w:t xml:space="preserve"> </w:t>
      </w:r>
      <w:r>
        <w:rPr>
          <w:rFonts w:ascii="Times New Roman" w:hAnsi="Times New Roman"/>
        </w:rPr>
        <w:t xml:space="preserve">teorie d</w:t>
      </w:r>
      <w:r>
        <w:rPr>
          <w:rFonts w:ascii="Times New Roman" w:hAnsi="Times New Roman"/>
        </w:rPr>
        <w:t xml:space="preserve">ě</w:t>
      </w:r>
      <w:r>
        <w:rPr>
          <w:rFonts w:ascii="Times New Roman" w:hAnsi="Times New Roman"/>
        </w:rPr>
        <w:t xml:space="preserve">jepisu.</w:t>
      </w:r>
      <w:r>
        <w:rPr>
          <w:rFonts w:ascii="Times New Roman" w:hAnsi="Times New Roman"/>
        </w:rPr>
        <w:t xml:space="preserve"> </w:t>
      </w:r>
      <w:r>
        <w:rPr>
          <w:iCs/>
          <w:rFonts w:ascii="Times New Roman" w:hAnsi="Times New Roman"/>
          <w:i/>
        </w:rPr>
        <w:t xml:space="preserve">Historie – Ot</w:t>
      </w:r>
      <w:r>
        <w:rPr>
          <w:iCs/>
          <w:rFonts w:ascii="Times New Roman" w:hAnsi="Times New Roman"/>
          <w:i/>
        </w:rPr>
        <w:t xml:space="preserve">á</w:t>
      </w:r>
      <w:r>
        <w:rPr>
          <w:iCs/>
          <w:rFonts w:ascii="Times New Roman" w:hAnsi="Times New Roman"/>
          <w:i/>
        </w:rPr>
        <w:t xml:space="preserve">zky – Probl</w:t>
      </w:r>
      <w:r>
        <w:rPr>
          <w:iCs/>
          <w:rFonts w:ascii="Times New Roman" w:hAnsi="Times New Roman"/>
          <w:i/>
        </w:rPr>
        <w:t xml:space="preserve">é</w:t>
      </w:r>
      <w:r>
        <w:rPr>
          <w:iCs/>
          <w:rFonts w:ascii="Times New Roman" w:hAnsi="Times New Roman"/>
          <w:i/>
        </w:rPr>
        <w:t xml:space="preserve">my</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13</w:t>
      </w:r>
      <w:r>
        <w:rPr>
          <w:rFonts w:ascii="Times New Roman" w:hAnsi="Times New Roman"/>
        </w:rPr>
        <w:t xml:space="preserve">(2), 50–70.</w:t>
      </w:r>
    </w:p>
    <w:bookmarkEnd w:id="78"/>
    <w:bookmarkStart w:id="80" w:name="ref-Decker2013"/>
    <w:p>
      <w:pPr>
        <w:pStyle w:val="Bibliography"/>
        <w:spacing w:line="480" w:lineRule="auto"/>
      </w:pPr>
      <w:r>
        <w:rPr>
          <w:rFonts w:ascii="Times New Roman" w:hAnsi="Times New Roman"/>
        </w:rPr>
        <w:t xml:space="preserve">Decker, O., Kiess, J., &amp; Brähler, E. (2013).</w:t>
      </w:r>
      <w:r>
        <w:rPr>
          <w:rFonts w:ascii="Times New Roman" w:hAnsi="Times New Roman"/>
        </w:rPr>
        <w:t xml:space="preserve"> </w:t>
      </w:r>
      <w:r>
        <w:rPr>
          <w:iCs/>
          <w:rFonts w:ascii="Times New Roman" w:hAnsi="Times New Roman"/>
          <w:i/>
        </w:rPr>
        <w:t xml:space="preserve">Rechtsextremismus der mitte: Eine sozialpsychologische gegenwartsdiagnose</w:t>
      </w:r>
      <w:r>
        <w:rPr>
          <w:rFonts w:ascii="Times New Roman" w:hAnsi="Times New Roman"/>
        </w:rPr>
        <w:t xml:space="preserve">. Psychosozial-Verlag.</w:t>
      </w:r>
      <w:r>
        <w:rPr>
          <w:rFonts w:ascii="Times New Roman" w:hAnsi="Times New Roman"/>
        </w:rPr>
        <w:t xml:space="preserve"> </w:t>
      </w:r>
      <w:hyperlink r:id="rId79">
        <w:r>
          <w:rPr>
            <w:rStyle w:val="Hyperlink"/>
          </w:rPr>
          <w:t xml:space="preserve">https://doi.org/10.30820/9783837966367</w:t>
        </w:r>
      </w:hyperlink>
    </w:p>
    <w:bookmarkEnd w:id="80"/>
    <w:bookmarkStart w:id="82" w:name="ref-vanDrie2007"/>
    <w:p>
      <w:pPr>
        <w:pStyle w:val="Bibliography"/>
        <w:spacing w:line="480" w:lineRule="auto"/>
      </w:pPr>
      <w:r>
        <w:rPr>
          <w:rFonts w:ascii="Times New Roman" w:hAnsi="Times New Roman"/>
        </w:rPr>
        <w:t xml:space="preserve">Drie, J. van, &amp; Boxtel, C. van. (2007). Historical reasoning: Towards a framework for analyzing students’ reasoning about the past.</w:t>
      </w:r>
      <w:r>
        <w:rPr>
          <w:rFonts w:ascii="Times New Roman" w:hAnsi="Times New Roman"/>
        </w:rPr>
        <w:t xml:space="preserve"> </w:t>
      </w:r>
      <w:r>
        <w:rPr>
          <w:iCs/>
          <w:rFonts w:ascii="Times New Roman" w:hAnsi="Times New Roman"/>
          <w:i/>
        </w:rPr>
        <w:t xml:space="preserve">Educational Psychology Review</w:t>
      </w:r>
      <w:r>
        <w:rPr>
          <w:rFonts w:ascii="Times New Roman" w:hAnsi="Times New Roman"/>
        </w:rPr>
        <w:t xml:space="preserve">,</w:t>
      </w:r>
      <w:r>
        <w:rPr>
          <w:rFonts w:ascii="Times New Roman" w:hAnsi="Times New Roman"/>
        </w:rPr>
        <w:t xml:space="preserve"> </w:t>
      </w:r>
      <w:r>
        <w:rPr>
          <w:iCs/>
          <w:rFonts w:ascii="Times New Roman" w:hAnsi="Times New Roman"/>
          <w:i/>
        </w:rPr>
        <w:t xml:space="preserve">20</w:t>
      </w:r>
      <w:r>
        <w:rPr>
          <w:rFonts w:ascii="Times New Roman" w:hAnsi="Times New Roman"/>
        </w:rPr>
        <w:t xml:space="preserve">(2), 87–110.</w:t>
      </w:r>
      <w:r>
        <w:rPr>
          <w:rFonts w:ascii="Times New Roman" w:hAnsi="Times New Roman"/>
        </w:rPr>
        <w:t xml:space="preserve"> </w:t>
      </w:r>
      <w:hyperlink r:id="rId81">
        <w:r>
          <w:rPr>
            <w:rStyle w:val="Hyperlink"/>
          </w:rPr>
          <w:t xml:space="preserve">https://doi.org/10.1007/s10648-007-9056-1</w:t>
        </w:r>
      </w:hyperlink>
    </w:p>
    <w:bookmarkEnd w:id="82"/>
    <w:bookmarkStart w:id="84" w:name="ref-Duckitt2001"/>
    <w:p>
      <w:pPr>
        <w:pStyle w:val="Bibliography"/>
        <w:spacing w:line="480" w:lineRule="auto"/>
      </w:pPr>
      <w:r>
        <w:rPr>
          <w:rFonts w:ascii="Times New Roman" w:hAnsi="Times New Roman"/>
        </w:rPr>
        <w:t xml:space="preserve">Duckitt, J. (2001). A dual-process cognitive-motivational theory of ideology and prejudice. In</w:t>
      </w:r>
      <w:r>
        <w:rPr>
          <w:rFonts w:ascii="Times New Roman" w:hAnsi="Times New Roman"/>
        </w:rPr>
        <w:t xml:space="preserve"> </w:t>
      </w:r>
      <w:r>
        <w:rPr>
          <w:iCs/>
          <w:rFonts w:ascii="Times New Roman" w:hAnsi="Times New Roman"/>
          <w:i/>
        </w:rPr>
        <w:t xml:space="preserve">Advances in experimental social psychology</w:t>
      </w:r>
      <w:r>
        <w:rPr>
          <w:rFonts w:ascii="Times New Roman" w:hAnsi="Times New Roman"/>
        </w:rPr>
        <w:t xml:space="preserve"> </w:t>
      </w:r>
      <w:r>
        <w:rPr>
          <w:rFonts w:ascii="Times New Roman" w:hAnsi="Times New Roman"/>
        </w:rPr>
        <w:t xml:space="preserve">(Vol. 33, pp. 41–113). Elsevier.</w:t>
      </w:r>
      <w:r>
        <w:rPr>
          <w:rFonts w:ascii="Times New Roman" w:hAnsi="Times New Roman"/>
        </w:rPr>
        <w:t xml:space="preserve"> </w:t>
      </w:r>
      <w:hyperlink r:id="rId83">
        <w:r>
          <w:rPr>
            <w:rStyle w:val="Hyperlink"/>
          </w:rPr>
          <w:t xml:space="preserve">https://doi.org/10.1016/S0065-2601(01)80004-6</w:t>
        </w:r>
      </w:hyperlink>
    </w:p>
    <w:bookmarkEnd w:id="84"/>
    <w:bookmarkStart w:id="86" w:name="ref-Evans2013"/>
    <w:p>
      <w:pPr>
        <w:pStyle w:val="Bibliography"/>
        <w:spacing w:line="480" w:lineRule="auto"/>
      </w:pPr>
      <w:r>
        <w:rPr>
          <w:rFonts w:ascii="Times New Roman" w:hAnsi="Times New Roman"/>
        </w:rPr>
        <w:t xml:space="preserve">Evans, J. St. B. T., &amp; Stanovich, K. E. (2013). Dual-process theories of higher cognition: Advancing the debate.</w:t>
      </w:r>
      <w:r>
        <w:rPr>
          <w:rFonts w:ascii="Times New Roman" w:hAnsi="Times New Roman"/>
        </w:rPr>
        <w:t xml:space="preserve"> </w:t>
      </w:r>
      <w:r>
        <w:rPr>
          <w:iCs/>
          <w:rFonts w:ascii="Times New Roman" w:hAnsi="Times New Roman"/>
          <w:i/>
        </w:rPr>
        <w:t xml:space="preserve">Perspectives on Psychological Science</w:t>
      </w:r>
      <w:r>
        <w:rPr>
          <w:rFonts w:ascii="Times New Roman" w:hAnsi="Times New Roman"/>
        </w:rPr>
        <w:t xml:space="preserve">,</w:t>
      </w:r>
      <w:r>
        <w:rPr>
          <w:rFonts w:ascii="Times New Roman" w:hAnsi="Times New Roman"/>
        </w:rPr>
        <w:t xml:space="preserve"> </w:t>
      </w:r>
      <w:r>
        <w:rPr>
          <w:iCs/>
          <w:rFonts w:ascii="Times New Roman" w:hAnsi="Times New Roman"/>
          <w:i/>
        </w:rPr>
        <w:t xml:space="preserve">8</w:t>
      </w:r>
      <w:r>
        <w:rPr>
          <w:rFonts w:ascii="Times New Roman" w:hAnsi="Times New Roman"/>
        </w:rPr>
        <w:t xml:space="preserve">(3), 223–241.</w:t>
      </w:r>
      <w:r>
        <w:rPr>
          <w:rFonts w:ascii="Times New Roman" w:hAnsi="Times New Roman"/>
        </w:rPr>
        <w:t xml:space="preserve"> </w:t>
      </w:r>
      <w:hyperlink r:id="rId85">
        <w:r>
          <w:rPr>
            <w:rStyle w:val="Hyperlink"/>
          </w:rPr>
          <w:t xml:space="preserve">https://doi.org/10.1177/1745691612460685</w:t>
        </w:r>
      </w:hyperlink>
    </w:p>
    <w:bookmarkEnd w:id="86"/>
    <w:bookmarkStart w:id="88" w:name="ref-Finch2005"/>
    <w:p>
      <w:pPr>
        <w:pStyle w:val="Bibliography"/>
        <w:spacing w:line="480" w:lineRule="auto"/>
      </w:pPr>
      <w:r>
        <w:rPr>
          <w:rFonts w:ascii="Times New Roman" w:hAnsi="Times New Roman"/>
        </w:rPr>
        <w:t xml:space="preserve">Finch, H. (2005). The</w:t>
      </w:r>
      <w:r>
        <w:rPr>
          <w:rFonts w:ascii="Times New Roman" w:hAnsi="Times New Roman"/>
        </w:rPr>
        <w:t xml:space="preserve"> </w:t>
      </w:r>
      <w:r>
        <w:rPr>
          <w:rFonts w:ascii="Times New Roman" w:hAnsi="Times New Roman"/>
        </w:rPr>
        <w:t xml:space="preserve">MIMIC</w:t>
      </w:r>
      <w:r>
        <w:rPr>
          <w:rFonts w:ascii="Times New Roman" w:hAnsi="Times New Roman"/>
        </w:rPr>
        <w:t xml:space="preserve"> </w:t>
      </w:r>
      <w:r>
        <w:rPr>
          <w:rFonts w:ascii="Times New Roman" w:hAnsi="Times New Roman"/>
        </w:rPr>
        <w:t xml:space="preserve">model as a method for detecting</w:t>
      </w:r>
      <w:r>
        <w:rPr>
          <w:rFonts w:ascii="Times New Roman" w:hAnsi="Times New Roman"/>
        </w:rPr>
        <w:t xml:space="preserve"> </w:t>
      </w:r>
      <w:r>
        <w:rPr>
          <w:rFonts w:ascii="Times New Roman" w:hAnsi="Times New Roman"/>
        </w:rPr>
        <w:t xml:space="preserve">DIF</w:t>
      </w:r>
      <w:r>
        <w:rPr>
          <w:rFonts w:ascii="Times New Roman" w:hAnsi="Times New Roman"/>
        </w:rPr>
        <w:t xml:space="preserve">: Comparison with</w:t>
      </w:r>
      <w:r>
        <w:rPr>
          <w:rFonts w:ascii="Times New Roman" w:hAnsi="Times New Roman"/>
        </w:rPr>
        <w:t xml:space="preserve"> </w:t>
      </w:r>
      <w:r>
        <w:rPr>
          <w:rFonts w:ascii="Times New Roman" w:hAnsi="Times New Roman"/>
        </w:rPr>
        <w:t xml:space="preserve">Mantel-Haenszel</w:t>
      </w:r>
      <w:r>
        <w:rPr>
          <w:rFonts w:ascii="Times New Roman" w:hAnsi="Times New Roman"/>
        </w:rPr>
        <w:t xml:space="preserve">,</w:t>
      </w:r>
      <w:r>
        <w:rPr>
          <w:rFonts w:ascii="Times New Roman" w:hAnsi="Times New Roman"/>
        </w:rPr>
        <w:t xml:space="preserve"> </w:t>
      </w:r>
      <w:r>
        <w:rPr>
          <w:rFonts w:ascii="Times New Roman" w:hAnsi="Times New Roman"/>
        </w:rPr>
        <w:t xml:space="preserve">SIBTEST</w:t>
      </w:r>
      <w:r>
        <w:rPr>
          <w:rFonts w:ascii="Times New Roman" w:hAnsi="Times New Roman"/>
        </w:rPr>
        <w:t xml:space="preserve">, and the</w:t>
      </w:r>
      <w:r>
        <w:rPr>
          <w:rFonts w:ascii="Times New Roman" w:hAnsi="Times New Roman"/>
        </w:rPr>
        <w:t xml:space="preserve"> </w:t>
      </w:r>
      <w:r>
        <w:rPr>
          <w:rFonts w:ascii="Times New Roman" w:hAnsi="Times New Roman"/>
        </w:rPr>
        <w:t xml:space="preserve">IRT</w:t>
      </w:r>
      <w:r>
        <w:rPr>
          <w:rFonts w:ascii="Times New Roman" w:hAnsi="Times New Roman"/>
        </w:rPr>
        <w:t xml:space="preserve"> </w:t>
      </w:r>
      <w:r>
        <w:rPr>
          <w:rFonts w:ascii="Times New Roman" w:hAnsi="Times New Roman"/>
        </w:rPr>
        <w:t xml:space="preserve">likelihood ratio.</w:t>
      </w:r>
      <w:r>
        <w:rPr>
          <w:rFonts w:ascii="Times New Roman" w:hAnsi="Times New Roman"/>
        </w:rPr>
        <w:t xml:space="preserve"> </w:t>
      </w:r>
      <w:r>
        <w:rPr>
          <w:iCs/>
          <w:rFonts w:ascii="Times New Roman" w:hAnsi="Times New Roman"/>
          <w:i/>
        </w:rPr>
        <w:t xml:space="preserve">Applied Psychological Measurement</w:t>
      </w:r>
      <w:r>
        <w:rPr>
          <w:rFonts w:ascii="Times New Roman" w:hAnsi="Times New Roman"/>
        </w:rPr>
        <w:t xml:space="preserve">,</w:t>
      </w:r>
      <w:r>
        <w:rPr>
          <w:rFonts w:ascii="Times New Roman" w:hAnsi="Times New Roman"/>
        </w:rPr>
        <w:t xml:space="preserve"> </w:t>
      </w:r>
      <w:r>
        <w:rPr>
          <w:iCs/>
          <w:rFonts w:ascii="Times New Roman" w:hAnsi="Times New Roman"/>
          <w:i/>
        </w:rPr>
        <w:t xml:space="preserve">29</w:t>
      </w:r>
      <w:r>
        <w:rPr>
          <w:rFonts w:ascii="Times New Roman" w:hAnsi="Times New Roman"/>
        </w:rPr>
        <w:t xml:space="preserve">(4), 278–295.</w:t>
      </w:r>
      <w:r>
        <w:rPr>
          <w:rFonts w:ascii="Times New Roman" w:hAnsi="Times New Roman"/>
        </w:rPr>
        <w:t xml:space="preserve"> </w:t>
      </w:r>
      <w:hyperlink r:id="rId87">
        <w:r>
          <w:rPr>
            <w:rStyle w:val="Hyperlink"/>
          </w:rPr>
          <w:t xml:space="preserve">https://doi.org/10.1177/0146621605275728</w:t>
        </w:r>
      </w:hyperlink>
    </w:p>
    <w:bookmarkEnd w:id="88"/>
    <w:bookmarkStart w:id="90" w:name="ref-Flora2004"/>
    <w:p>
      <w:pPr>
        <w:pStyle w:val="Bibliography"/>
        <w:spacing w:line="480" w:lineRule="auto"/>
      </w:pPr>
      <w:r>
        <w:rPr>
          <w:rFonts w:ascii="Times New Roman" w:hAnsi="Times New Roman"/>
        </w:rPr>
        <w:t xml:space="preserve">Flora, D. B., &amp; Curran, P. J. (2004). An empirical evaluation of alternative methods of estimation for confirmatory factor analysis with ordinal data.</w:t>
      </w:r>
      <w:r>
        <w:rPr>
          <w:rFonts w:ascii="Times New Roman" w:hAnsi="Times New Roman"/>
        </w:rPr>
        <w:t xml:space="preserve"> </w:t>
      </w:r>
      <w:r>
        <w:rPr>
          <w:iCs/>
          <w:rFonts w:ascii="Times New Roman" w:hAnsi="Times New Roman"/>
          <w:i/>
        </w:rPr>
        <w:t xml:space="preserve">Psychological Methods</w:t>
      </w:r>
      <w:r>
        <w:rPr>
          <w:rFonts w:ascii="Times New Roman" w:hAnsi="Times New Roman"/>
        </w:rPr>
        <w:t xml:space="preserve">,</w:t>
      </w:r>
      <w:r>
        <w:rPr>
          <w:rFonts w:ascii="Times New Roman" w:hAnsi="Times New Roman"/>
        </w:rPr>
        <w:t xml:space="preserve"> </w:t>
      </w:r>
      <w:r>
        <w:rPr>
          <w:iCs/>
          <w:rFonts w:ascii="Times New Roman" w:hAnsi="Times New Roman"/>
          <w:i/>
        </w:rPr>
        <w:t xml:space="preserve">9</w:t>
      </w:r>
      <w:r>
        <w:rPr>
          <w:rFonts w:ascii="Times New Roman" w:hAnsi="Times New Roman"/>
        </w:rPr>
        <w:t xml:space="preserve">(4), 466–491.</w:t>
      </w:r>
      <w:r>
        <w:rPr>
          <w:rFonts w:ascii="Times New Roman" w:hAnsi="Times New Roman"/>
        </w:rPr>
        <w:t xml:space="preserve"> </w:t>
      </w:r>
      <w:hyperlink r:id="rId89">
        <w:r>
          <w:rPr>
            <w:rStyle w:val="Hyperlink"/>
          </w:rPr>
          <w:t xml:space="preserve">https://doi.org/10.1037/1082-989X.9.4.466</w:t>
        </w:r>
      </w:hyperlink>
    </w:p>
    <w:bookmarkEnd w:id="90"/>
    <w:bookmarkStart w:id="92" w:name="ref-Hambleton2005"/>
    <w:p>
      <w:pPr>
        <w:pStyle w:val="Bibliography"/>
        <w:spacing w:line="480" w:lineRule="auto"/>
      </w:pPr>
      <w:r>
        <w:rPr>
          <w:rFonts w:ascii="Times New Roman" w:hAnsi="Times New Roman"/>
        </w:rPr>
        <w:t xml:space="preserve">Hambleton, R. K., Merenda, P. F., &amp; Spielberger, C. D. (2005).</w:t>
      </w:r>
      <w:r>
        <w:rPr>
          <w:rFonts w:ascii="Times New Roman" w:hAnsi="Times New Roman"/>
        </w:rPr>
        <w:t xml:space="preserve"> </w:t>
      </w:r>
      <w:r>
        <w:rPr>
          <w:iCs/>
          <w:rFonts w:ascii="Times New Roman" w:hAnsi="Times New Roman"/>
          <w:i/>
        </w:rPr>
        <w:t xml:space="preserve">Adapting educational and psychological tests for cross-cultural assessment</w:t>
      </w:r>
      <w:r>
        <w:rPr>
          <w:rFonts w:ascii="Times New Roman" w:hAnsi="Times New Roman"/>
        </w:rPr>
        <w:t xml:space="preserve">. Lawrence Erlbaum Associates.</w:t>
      </w:r>
      <w:r>
        <w:rPr>
          <w:rFonts w:ascii="Times New Roman" w:hAnsi="Times New Roman"/>
        </w:rPr>
        <w:t xml:space="preserve"> </w:t>
      </w:r>
      <w:hyperlink r:id="rId91">
        <w:r>
          <w:rPr>
            <w:rStyle w:val="Hyperlink"/>
          </w:rPr>
          <w:t xml:space="preserve">https://doi.org/10.4324/9781410611758</w:t>
        </w:r>
      </w:hyperlink>
    </w:p>
    <w:bookmarkEnd w:id="92"/>
    <w:bookmarkStart w:id="94" w:name="ref-Hartmann2008"/>
    <w:p>
      <w:pPr>
        <w:pStyle w:val="Bibliography"/>
        <w:spacing w:line="480" w:lineRule="auto"/>
      </w:pPr>
      <w:r>
        <w:rPr>
          <w:rFonts w:ascii="Times New Roman" w:hAnsi="Times New Roman"/>
        </w:rPr>
        <w:t xml:space="preserve">Hartmann, U., &amp; Hasselhorn, M. (2008). Historical perspective taking: A standardized measure for an aspect of students’ historical thinking.</w:t>
      </w:r>
      <w:r>
        <w:rPr>
          <w:rFonts w:ascii="Times New Roman" w:hAnsi="Times New Roman"/>
        </w:rPr>
        <w:t xml:space="preserve"> </w:t>
      </w:r>
      <w:r>
        <w:rPr>
          <w:iCs/>
          <w:rFonts w:ascii="Times New Roman" w:hAnsi="Times New Roman"/>
          <w:i/>
        </w:rPr>
        <w:t xml:space="preserve">Learning and Individual Differences</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18</w:t>
      </w:r>
      <w:r>
        <w:rPr>
          <w:rFonts w:ascii="Times New Roman" w:hAnsi="Times New Roman"/>
        </w:rPr>
        <w:t xml:space="preserve">(2), 264–270.</w:t>
      </w:r>
      <w:r>
        <w:rPr>
          <w:rFonts w:ascii="Times New Roman" w:hAnsi="Times New Roman"/>
        </w:rPr>
        <w:t xml:space="preserve"> </w:t>
      </w:r>
      <w:hyperlink r:id="rId93">
        <w:r>
          <w:rPr>
            <w:rStyle w:val="Hyperlink"/>
          </w:rPr>
          <w:t xml:space="preserve">https://doi.org/10.1016/j.lindif.2007.10.002</w:t>
        </w:r>
      </w:hyperlink>
    </w:p>
    <w:bookmarkEnd w:id="94"/>
    <w:bookmarkStart w:id="96" w:name="ref-Hays1989"/>
    <w:p>
      <w:pPr>
        <w:pStyle w:val="Bibliography"/>
        <w:spacing w:line="480" w:lineRule="auto"/>
      </w:pPr>
      <w:r>
        <w:rPr>
          <w:rFonts w:ascii="Times New Roman" w:hAnsi="Times New Roman"/>
        </w:rPr>
        <w:t xml:space="preserve">Hays, R. D., Hayashi, T., &amp; Stewart, A. L. (1989). A five-item measure of socially desirable response set.</w:t>
      </w:r>
      <w:r>
        <w:rPr>
          <w:rFonts w:ascii="Times New Roman" w:hAnsi="Times New Roman"/>
        </w:rPr>
        <w:t xml:space="preserve"> </w:t>
      </w:r>
      <w:r>
        <w:rPr>
          <w:iCs/>
          <w:rFonts w:ascii="Times New Roman" w:hAnsi="Times New Roman"/>
          <w:i/>
        </w:rPr>
        <w:t xml:space="preserve">Educational and Psychological Measurement</w:t>
      </w:r>
      <w:r>
        <w:rPr>
          <w:rFonts w:ascii="Times New Roman" w:hAnsi="Times New Roman"/>
        </w:rPr>
        <w:t xml:space="preserve">,</w:t>
      </w:r>
      <w:r>
        <w:rPr>
          <w:rFonts w:ascii="Times New Roman" w:hAnsi="Times New Roman"/>
        </w:rPr>
        <w:t xml:space="preserve"> </w:t>
      </w:r>
      <w:r>
        <w:rPr>
          <w:iCs/>
          <w:rFonts w:ascii="Times New Roman" w:hAnsi="Times New Roman"/>
          <w:i/>
        </w:rPr>
        <w:t xml:space="preserve">49</w:t>
      </w:r>
      <w:r>
        <w:rPr>
          <w:rFonts w:ascii="Times New Roman" w:hAnsi="Times New Roman"/>
        </w:rPr>
        <w:t xml:space="preserve">(3), 629–636.</w:t>
      </w:r>
      <w:r>
        <w:rPr>
          <w:rFonts w:ascii="Times New Roman" w:hAnsi="Times New Roman"/>
        </w:rPr>
        <w:t xml:space="preserve"> </w:t>
      </w:r>
      <w:hyperlink r:id="rId95">
        <w:r>
          <w:rPr>
            <w:rStyle w:val="Hyperlink"/>
          </w:rPr>
          <w:t xml:space="preserve">https://doi.org/10.1177/001316448904900315</w:t>
        </w:r>
      </w:hyperlink>
    </w:p>
    <w:bookmarkEnd w:id="96"/>
    <w:bookmarkStart w:id="98" w:name="ref-Huijgen2014"/>
    <w:p>
      <w:pPr>
        <w:pStyle w:val="Bibliography"/>
        <w:spacing w:line="480" w:lineRule="auto"/>
      </w:pPr>
      <w:r>
        <w:rPr>
          <w:rFonts w:ascii="Times New Roman" w:hAnsi="Times New Roman"/>
        </w:rPr>
        <w:t xml:space="preserve">Huijgen, T., Boxtel, C. van, Grift, W. van de, &amp; Holthuis, P. (2014). Testing elementary and secondary school students’ ability to perform historical perspective taking: The constructing of valid and reliable measure instruments.</w:t>
      </w:r>
      <w:r>
        <w:rPr>
          <w:rFonts w:ascii="Times New Roman" w:hAnsi="Times New Roman"/>
        </w:rPr>
        <w:t xml:space="preserve"> </w:t>
      </w:r>
      <w:r>
        <w:rPr>
          <w:iCs/>
          <w:rFonts w:ascii="Times New Roman" w:hAnsi="Times New Roman"/>
          <w:i/>
        </w:rPr>
        <w:t xml:space="preserve">European Journal of Psychology of Education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29</w:t>
      </w:r>
      <w:r>
        <w:rPr>
          <w:rFonts w:ascii="Times New Roman" w:hAnsi="Times New Roman"/>
        </w:rPr>
        <w:t xml:space="preserve">(4), 653–672.</w:t>
      </w:r>
      <w:r>
        <w:rPr>
          <w:rFonts w:ascii="Times New Roman" w:hAnsi="Times New Roman"/>
        </w:rPr>
        <w:t xml:space="preserve"> </w:t>
      </w:r>
      <w:hyperlink r:id="rId97">
        <w:r>
          <w:rPr>
            <w:rStyle w:val="Hyperlink"/>
          </w:rPr>
          <w:t xml:space="preserve">https://doi.org/10.1007/s10212-014-0219-4</w:t>
        </w:r>
      </w:hyperlink>
    </w:p>
    <w:bookmarkEnd w:id="98"/>
    <w:bookmarkStart w:id="100" w:name="ref-Huijgen2017"/>
    <w:p>
      <w:pPr>
        <w:pStyle w:val="Bibliography"/>
        <w:spacing w:line="480" w:lineRule="auto"/>
      </w:pPr>
      <w:r>
        <w:rPr>
          <w:rFonts w:ascii="Times New Roman" w:hAnsi="Times New Roman"/>
        </w:rPr>
        <w:t xml:space="preserve">Huijgen, T., Van Boxtel, C., Van De Grift, W., &amp; Holthuis, P. (2017). Toward historical perspective taking: Students’ reasoning when contextualizing the actions of people in the past.</w:t>
      </w:r>
      <w:r>
        <w:rPr>
          <w:rFonts w:ascii="Times New Roman" w:hAnsi="Times New Roman"/>
        </w:rPr>
        <w:t xml:space="preserve"> </w:t>
      </w:r>
      <w:r>
        <w:rPr>
          <w:iCs/>
          <w:rFonts w:ascii="Times New Roman" w:hAnsi="Times New Roman"/>
          <w:i/>
        </w:rPr>
        <w:t xml:space="preserve">Theory &amp; Research in Social Education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45</w:t>
      </w:r>
      <w:r>
        <w:rPr>
          <w:rFonts w:ascii="Times New Roman" w:hAnsi="Times New Roman"/>
        </w:rPr>
        <w:t xml:space="preserve">(1), 110–144.</w:t>
      </w:r>
      <w:r>
        <w:rPr>
          <w:rFonts w:ascii="Times New Roman" w:hAnsi="Times New Roman"/>
        </w:rPr>
        <w:t xml:space="preserve"> </w:t>
      </w:r>
      <w:hyperlink r:id="rId99">
        <w:r>
          <w:rPr>
            <w:rStyle w:val="Hyperlink"/>
          </w:rPr>
          <w:t xml:space="preserve">https://doi.org/10.1080/00933104.2016.1208597</w:t>
        </w:r>
      </w:hyperlink>
    </w:p>
    <w:bookmarkEnd w:id="100"/>
    <w:bookmarkStart w:id="102" w:name="ref-ITC2017"/>
    <w:p>
      <w:pPr>
        <w:pStyle w:val="Bibliography"/>
        <w:spacing w:line="480" w:lineRule="auto"/>
      </w:pPr>
      <w:r>
        <w:rPr>
          <w:rFonts w:ascii="Times New Roman" w:hAnsi="Times New Roman"/>
        </w:rPr>
        <w:t xml:space="preserve">International Test Commission. (2017).</w:t>
      </w:r>
      <w:r>
        <w:rPr>
          <w:rFonts w:ascii="Times New Roman" w:hAnsi="Times New Roman"/>
        </w:rPr>
        <w:t xml:space="preserve"> </w:t>
      </w:r>
      <w:r>
        <w:rPr>
          <w:iCs/>
          <w:rFonts w:ascii="Times New Roman" w:hAnsi="Times New Roman"/>
          <w:i/>
        </w:rPr>
        <w:t xml:space="preserve">ITC</w:t>
      </w:r>
      <w:r>
        <w:rPr>
          <w:iCs/>
          <w:rFonts w:ascii="Times New Roman" w:hAnsi="Times New Roman"/>
          <w:i/>
        </w:rPr>
        <w:t xml:space="preserve"> </w:t>
      </w:r>
      <w:r>
        <w:rPr>
          <w:iCs/>
          <w:rFonts w:ascii="Times New Roman" w:hAnsi="Times New Roman"/>
          <w:i/>
        </w:rPr>
        <w:t xml:space="preserve">guidelines for translating and adapting tests (second edition)</w:t>
      </w:r>
      <w:r>
        <w:rPr>
          <w:rFonts w:ascii="Times New Roman" w:hAnsi="Times New Roman"/>
        </w:rPr>
        <w:t xml:space="preserve">. International Test Commission.</w:t>
      </w:r>
      <w:r>
        <w:rPr>
          <w:rFonts w:ascii="Times New Roman" w:hAnsi="Times New Roman"/>
        </w:rPr>
        <w:t xml:space="preserve"> </w:t>
      </w:r>
      <w:hyperlink r:id="rId101">
        <w:r>
          <w:rPr>
            <w:rStyle w:val="Hyperlink"/>
          </w:rPr>
          <w:t xml:space="preserve">https://www.intestcom.org/files/guideline_test_adaptation_2ed.pdf</w:t>
        </w:r>
      </w:hyperlink>
    </w:p>
    <w:bookmarkEnd w:id="102"/>
    <w:bookmarkStart w:id="104" w:name="ref-Jost2003"/>
    <w:p>
      <w:pPr>
        <w:pStyle w:val="Bibliography"/>
        <w:spacing w:line="480" w:lineRule="auto"/>
      </w:pPr>
      <w:r>
        <w:rPr>
          <w:rFonts w:ascii="Times New Roman" w:hAnsi="Times New Roman"/>
        </w:rPr>
        <w:t xml:space="preserve">Jost, J. T., Glaser, J., Kruglanski, A. W., &amp; Sulloway, F. J. (2003). Political conservatism as motivated social cognition.</w:t>
      </w:r>
      <w:r>
        <w:rPr>
          <w:rFonts w:ascii="Times New Roman" w:hAnsi="Times New Roman"/>
        </w:rPr>
        <w:t xml:space="preserve"> </w:t>
      </w:r>
      <w:r>
        <w:rPr>
          <w:iCs/>
          <w:rFonts w:ascii="Times New Roman" w:hAnsi="Times New Roman"/>
          <w:i/>
        </w:rPr>
        <w:t xml:space="preserve">Psychological Bulletin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129</w:t>
      </w:r>
      <w:r>
        <w:rPr>
          <w:rFonts w:ascii="Times New Roman" w:hAnsi="Times New Roman"/>
        </w:rPr>
        <w:t xml:space="preserve">(3), 339–375.</w:t>
      </w:r>
      <w:r>
        <w:rPr>
          <w:rFonts w:ascii="Times New Roman" w:hAnsi="Times New Roman"/>
        </w:rPr>
        <w:t xml:space="preserve"> </w:t>
      </w:r>
      <w:hyperlink r:id="rId103">
        <w:r>
          <w:rPr>
            <w:rStyle w:val="Hyperlink"/>
          </w:rPr>
          <w:t xml:space="preserve">https://doi.org/10.1037/0033-2909.129.3.339</w:t>
        </w:r>
      </w:hyperlink>
    </w:p>
    <w:bookmarkEnd w:id="104"/>
    <w:bookmarkStart w:id="106" w:name="ref-Kahan2017"/>
    <w:p>
      <w:pPr>
        <w:pStyle w:val="Bibliography"/>
        <w:spacing w:line="480" w:lineRule="auto"/>
      </w:pPr>
      <w:r>
        <w:rPr>
          <w:rFonts w:ascii="Times New Roman" w:hAnsi="Times New Roman"/>
        </w:rPr>
        <w:t xml:space="preserve">Kahan, D. M., Peters, E., Dawson, E. C., &amp; Slovic, P. (2017). Motivated numeracy and enlightened self-government.</w:t>
      </w:r>
      <w:r>
        <w:rPr>
          <w:rFonts w:ascii="Times New Roman" w:hAnsi="Times New Roman"/>
        </w:rPr>
        <w:t xml:space="preserve"> </w:t>
      </w:r>
      <w:r>
        <w:rPr>
          <w:iCs/>
          <w:rFonts w:ascii="Times New Roman" w:hAnsi="Times New Roman"/>
          <w:i/>
        </w:rPr>
        <w:t xml:space="preserve">Behavioural Public Policy</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w:t>
      </w:r>
      <w:r>
        <w:rPr>
          <w:rFonts w:ascii="Times New Roman" w:hAnsi="Times New Roman"/>
        </w:rPr>
        <w:t xml:space="preserve">(1), 54–86.</w:t>
      </w:r>
      <w:r>
        <w:rPr>
          <w:rFonts w:ascii="Times New Roman" w:hAnsi="Times New Roman"/>
        </w:rPr>
        <w:t xml:space="preserve"> </w:t>
      </w:r>
      <w:hyperlink r:id="rId105">
        <w:r>
          <w:rPr>
            <w:rStyle w:val="Hyperlink"/>
          </w:rPr>
          <w:t xml:space="preserve">https://doi.org/10.1017/bpp.2016.2</w:t>
        </w:r>
      </w:hyperlink>
    </w:p>
    <w:bookmarkEnd w:id="106"/>
    <w:bookmarkStart w:id="107" w:name="ref-Lee2001"/>
    <w:p>
      <w:pPr>
        <w:pStyle w:val="Bibliography"/>
        <w:spacing w:line="480" w:lineRule="auto"/>
      </w:pPr>
      <w:r>
        <w:rPr>
          <w:rFonts w:ascii="Times New Roman" w:hAnsi="Times New Roman"/>
        </w:rPr>
        <w:t xml:space="preserve">Lee, P., &amp; Ashby, R. (2001). Empathy, perspective taking, and rational understanding. In</w:t>
      </w:r>
      <w:r>
        <w:rPr>
          <w:rFonts w:ascii="Times New Roman" w:hAnsi="Times New Roman"/>
        </w:rPr>
        <w:t xml:space="preserve"> </w:t>
      </w:r>
      <w:r>
        <w:rPr>
          <w:iCs/>
          <w:rFonts w:ascii="Times New Roman" w:hAnsi="Times New Roman"/>
          <w:i/>
        </w:rPr>
        <w:t xml:space="preserve">Historical empathy and perspective taking in the social studies</w:t>
      </w:r>
      <w:r>
        <w:rPr>
          <w:rFonts w:ascii="Times New Roman" w:hAnsi="Times New Roman"/>
        </w:rPr>
        <w:t xml:space="preserve"> </w:t>
      </w:r>
      <w:r>
        <w:rPr>
          <w:rFonts w:ascii="Times New Roman" w:hAnsi="Times New Roman"/>
        </w:rPr>
        <w:t xml:space="preserve">(pp. 21–50). Rowman &amp; Littlefield.</w:t>
      </w:r>
    </w:p>
    <w:bookmarkEnd w:id="107"/>
    <w:bookmarkStart w:id="109" w:name="ref-Maas2005"/>
    <w:p>
      <w:pPr>
        <w:pStyle w:val="Bibliography"/>
        <w:spacing w:line="480" w:lineRule="auto"/>
      </w:pPr>
      <w:r>
        <w:rPr>
          <w:rFonts w:ascii="Times New Roman" w:hAnsi="Times New Roman"/>
        </w:rPr>
        <w:t xml:space="preserve">Maas, C. J. M., &amp; Hox, J. J. (2005). Sufficient sample sizes for multilevel modeling.</w:t>
      </w:r>
      <w:r>
        <w:rPr>
          <w:rFonts w:ascii="Times New Roman" w:hAnsi="Times New Roman"/>
        </w:rPr>
        <w:t xml:space="preserve"> </w:t>
      </w:r>
      <w:r>
        <w:rPr>
          <w:iCs/>
          <w:rFonts w:ascii="Times New Roman" w:hAnsi="Times New Roman"/>
          <w:i/>
        </w:rPr>
        <w:t xml:space="preserve">Methodology</w:t>
      </w:r>
      <w:r>
        <w:rPr>
          <w:rFonts w:ascii="Times New Roman" w:hAnsi="Times New Roman"/>
        </w:rPr>
        <w:t xml:space="preserve">,</w:t>
      </w:r>
      <w:r>
        <w:rPr>
          <w:rFonts w:ascii="Times New Roman" w:hAnsi="Times New Roman"/>
        </w:rPr>
        <w:t xml:space="preserve"> </w:t>
      </w:r>
      <w:r>
        <w:rPr>
          <w:iCs/>
          <w:rFonts w:ascii="Times New Roman" w:hAnsi="Times New Roman"/>
          <w:i/>
        </w:rPr>
        <w:t xml:space="preserve">1</w:t>
      </w:r>
      <w:r>
        <w:rPr>
          <w:rFonts w:ascii="Times New Roman" w:hAnsi="Times New Roman"/>
        </w:rPr>
        <w:t xml:space="preserve">(3), 86–92.</w:t>
      </w:r>
      <w:r>
        <w:rPr>
          <w:rFonts w:ascii="Times New Roman" w:hAnsi="Times New Roman"/>
        </w:rPr>
        <w:t xml:space="preserve"> </w:t>
      </w:r>
      <w:hyperlink r:id="rId108">
        <w:r>
          <w:rPr>
            <w:rStyle w:val="Hyperlink"/>
          </w:rPr>
          <w:t xml:space="preserve">https://doi.org/10.1027/1614-2241.1.3.86</w:t>
        </w:r>
      </w:hyperlink>
    </w:p>
    <w:bookmarkEnd w:id="109"/>
    <w:bookmarkStart w:id="111" w:name="ref-Messick1995"/>
    <w:p>
      <w:pPr>
        <w:pStyle w:val="Bibliography"/>
        <w:spacing w:line="480" w:lineRule="auto"/>
      </w:pPr>
      <w:r>
        <w:rPr>
          <w:rFonts w:ascii="Times New Roman" w:hAnsi="Times New Roman"/>
        </w:rPr>
        <w:t xml:space="preserve">Messick, S. (1995). Validity of psychological assessment: Validation of inferences from persons’ responses and performances as scientific inquiry into score meaning.</w:t>
      </w:r>
      <w:r>
        <w:rPr>
          <w:rFonts w:ascii="Times New Roman" w:hAnsi="Times New Roman"/>
        </w:rPr>
        <w:t xml:space="preserve"> </w:t>
      </w:r>
      <w:r>
        <w:rPr>
          <w:iCs/>
          <w:rFonts w:ascii="Times New Roman" w:hAnsi="Times New Roman"/>
          <w:i/>
        </w:rPr>
        <w:t xml:space="preserve">American Psychologist</w:t>
      </w:r>
      <w:r>
        <w:rPr>
          <w:rFonts w:ascii="Times New Roman" w:hAnsi="Times New Roman"/>
        </w:rPr>
        <w:t xml:space="preserve">,</w:t>
      </w:r>
      <w:r>
        <w:rPr>
          <w:rFonts w:ascii="Times New Roman" w:hAnsi="Times New Roman"/>
        </w:rPr>
        <w:t xml:space="preserve"> </w:t>
      </w:r>
      <w:r>
        <w:rPr>
          <w:iCs/>
          <w:rFonts w:ascii="Times New Roman" w:hAnsi="Times New Roman"/>
          <w:i/>
        </w:rPr>
        <w:t xml:space="preserve">50</w:t>
      </w:r>
      <w:r>
        <w:rPr>
          <w:rFonts w:ascii="Times New Roman" w:hAnsi="Times New Roman"/>
        </w:rPr>
        <w:t xml:space="preserve">(9), 741–749.</w:t>
      </w:r>
      <w:r>
        <w:rPr>
          <w:rFonts w:ascii="Times New Roman" w:hAnsi="Times New Roman"/>
        </w:rPr>
        <w:t xml:space="preserve"> </w:t>
      </w:r>
      <w:hyperlink r:id="rId110">
        <w:r>
          <w:rPr>
            <w:rStyle w:val="Hyperlink"/>
          </w:rPr>
          <w:t xml:space="preserve">https://doi.org/10.1037/0003-066x.50.9.741</w:t>
        </w:r>
      </w:hyperlink>
    </w:p>
    <w:bookmarkEnd w:id="111"/>
    <w:bookmarkStart w:id="113" w:name="ref-Munich2023"/>
    <w:p>
      <w:pPr>
        <w:pStyle w:val="Bibliography"/>
        <w:spacing w:line="480" w:lineRule="auto"/>
      </w:pPr>
      <w:r>
        <w:rPr>
          <w:rFonts w:ascii="Times New Roman" w:hAnsi="Times New Roman"/>
        </w:rPr>
        <w:t xml:space="preserve">Münich, J., Najbert, J., Ondrouchová, M., Pinka, J., Ripka, V., Sedlák, P., Spousta, P., &amp; Veselá, M. (2023).</w:t>
      </w:r>
      <w:r>
        <w:rPr>
          <w:rFonts w:ascii="Times New Roman" w:hAnsi="Times New Roman"/>
        </w:rPr>
        <w:t xml:space="preserve"> </w:t>
      </w:r>
      <w:r>
        <w:rPr>
          <w:iCs/>
          <w:rFonts w:ascii="Times New Roman" w:hAnsi="Times New Roman"/>
          <w:i/>
        </w:rPr>
        <w:t xml:space="preserve">Z</w:t>
      </w:r>
      <w:r>
        <w:rPr>
          <w:iCs/>
          <w:rFonts w:ascii="Times New Roman" w:hAnsi="Times New Roman"/>
          <w:i/>
        </w:rPr>
        <w:t xml:space="preserve">á</w:t>
      </w:r>
      <w:r>
        <w:rPr>
          <w:iCs/>
          <w:rFonts w:ascii="Times New Roman" w:hAnsi="Times New Roman"/>
          <w:i/>
        </w:rPr>
        <w:t xml:space="preserve">v</w:t>
      </w:r>
      <w:r>
        <w:rPr>
          <w:iCs/>
          <w:rFonts w:ascii="Times New Roman" w:hAnsi="Times New Roman"/>
          <w:i/>
        </w:rPr>
        <w:t xml:space="preserve">ě</w:t>
      </w:r>
      <w:r>
        <w:rPr>
          <w:iCs/>
          <w:rFonts w:ascii="Times New Roman" w:hAnsi="Times New Roman"/>
          <w:i/>
        </w:rPr>
        <w:t xml:space="preserve">re</w:t>
      </w:r>
      <w:r>
        <w:rPr>
          <w:iCs/>
          <w:rFonts w:ascii="Times New Roman" w:hAnsi="Times New Roman"/>
          <w:i/>
        </w:rPr>
        <w:t xml:space="preserve">č</w:t>
      </w:r>
      <w:r>
        <w:rPr>
          <w:iCs/>
          <w:rFonts w:ascii="Times New Roman" w:hAnsi="Times New Roman"/>
          <w:i/>
        </w:rPr>
        <w:t xml:space="preserve">n</w:t>
      </w:r>
      <w:r>
        <w:rPr>
          <w:iCs/>
          <w:rFonts w:ascii="Times New Roman" w:hAnsi="Times New Roman"/>
          <w:i/>
        </w:rPr>
        <w:t xml:space="preserve">á</w:t>
      </w:r>
      <w:r>
        <w:rPr>
          <w:iCs/>
          <w:rFonts w:ascii="Times New Roman" w:hAnsi="Times New Roman"/>
          <w:i/>
        </w:rPr>
        <w:t xml:space="preserve"> </w:t>
      </w:r>
      <w:r>
        <w:rPr>
          <w:iCs/>
          <w:rFonts w:ascii="Times New Roman" w:hAnsi="Times New Roman"/>
          <w:i/>
        </w:rPr>
        <w:t xml:space="preserve">zpr</w:t>
      </w:r>
      <w:r>
        <w:rPr>
          <w:iCs/>
          <w:rFonts w:ascii="Times New Roman" w:hAnsi="Times New Roman"/>
          <w:i/>
        </w:rPr>
        <w:t xml:space="preserve">á</w:t>
      </w:r>
      <w:r>
        <w:rPr>
          <w:iCs/>
          <w:rFonts w:ascii="Times New Roman" w:hAnsi="Times New Roman"/>
          <w:i/>
        </w:rPr>
        <w:t xml:space="preserve">va projektu</w:t>
      </w:r>
      <w:r>
        <w:rPr>
          <w:iCs/>
          <w:rFonts w:ascii="Times New Roman" w:hAnsi="Times New Roman"/>
          <w:i/>
        </w:rPr>
        <w:t xml:space="preserve"> </w:t>
      </w:r>
      <w:r>
        <w:rPr>
          <w:iCs/>
          <w:rFonts w:ascii="Times New Roman" w:hAnsi="Times New Roman"/>
          <w:i/>
        </w:rPr>
        <w:t xml:space="preserve">D</w:t>
      </w:r>
      <w:r>
        <w:rPr>
          <w:iCs/>
          <w:rFonts w:ascii="Times New Roman" w:hAnsi="Times New Roman"/>
          <w:i/>
        </w:rPr>
        <w:t xml:space="preserve">ě</w:t>
      </w:r>
      <w:r>
        <w:rPr>
          <w:iCs/>
          <w:rFonts w:ascii="Times New Roman" w:hAnsi="Times New Roman"/>
          <w:i/>
        </w:rPr>
        <w:t xml:space="preserve">jepis+</w:t>
      </w:r>
      <w:r>
        <w:rPr>
          <w:iCs/>
          <w:rFonts w:ascii="Times New Roman" w:hAnsi="Times New Roman"/>
          <w:i/>
        </w:rPr>
        <w:t xml:space="preserve">: Vyhodnocen</w:t>
      </w:r>
      <w:r>
        <w:rPr>
          <w:iCs/>
          <w:rFonts w:ascii="Times New Roman" w:hAnsi="Times New Roman"/>
          <w:i/>
        </w:rPr>
        <w:t xml:space="preserve">í</w:t>
      </w:r>
      <w:r>
        <w:rPr>
          <w:iCs/>
          <w:rFonts w:ascii="Times New Roman" w:hAnsi="Times New Roman"/>
          <w:i/>
        </w:rPr>
        <w:t xml:space="preserve"> </w:t>
      </w:r>
      <w:r>
        <w:rPr>
          <w:iCs/>
          <w:rFonts w:ascii="Times New Roman" w:hAnsi="Times New Roman"/>
          <w:i/>
        </w:rPr>
        <w:t xml:space="preserve">pokusn</w:t>
      </w:r>
      <w:r>
        <w:rPr>
          <w:iCs/>
          <w:rFonts w:ascii="Times New Roman" w:hAnsi="Times New Roman"/>
          <w:i/>
        </w:rPr>
        <w:t xml:space="preserve">é</w:t>
      </w:r>
      <w:r>
        <w:rPr>
          <w:iCs/>
          <w:rFonts w:ascii="Times New Roman" w:hAnsi="Times New Roman"/>
          <w:i/>
        </w:rPr>
        <w:t xml:space="preserve">ho ov</w:t>
      </w:r>
      <w:r>
        <w:rPr>
          <w:iCs/>
          <w:rFonts w:ascii="Times New Roman" w:hAnsi="Times New Roman"/>
          <w:i/>
        </w:rPr>
        <w:t xml:space="preserve">ě</w:t>
      </w:r>
      <w:r>
        <w:rPr>
          <w:iCs/>
          <w:rFonts w:ascii="Times New Roman" w:hAnsi="Times New Roman"/>
          <w:i/>
        </w:rPr>
        <w:t xml:space="preserve">ř</w:t>
      </w:r>
      <w:r>
        <w:rPr>
          <w:iCs/>
          <w:rFonts w:ascii="Times New Roman" w:hAnsi="Times New Roman"/>
          <w:i/>
        </w:rPr>
        <w:t xml:space="preserve">ov</w:t>
      </w:r>
      <w:r>
        <w:rPr>
          <w:iCs/>
          <w:rFonts w:ascii="Times New Roman" w:hAnsi="Times New Roman"/>
          <w:i/>
        </w:rPr>
        <w:t xml:space="preserve">á</w:t>
      </w:r>
      <w:r>
        <w:rPr>
          <w:iCs/>
          <w:rFonts w:ascii="Times New Roman" w:hAnsi="Times New Roman"/>
          <w:i/>
        </w:rPr>
        <w:t xml:space="preserve">n</w:t>
      </w:r>
      <w:r>
        <w:rPr>
          <w:iCs/>
          <w:rFonts w:ascii="Times New Roman" w:hAnsi="Times New Roman"/>
          <w:i/>
        </w:rPr>
        <w:t xml:space="preserve">í</w:t>
      </w:r>
      <w:r>
        <w:rPr>
          <w:iCs/>
          <w:rFonts w:ascii="Times New Roman" w:hAnsi="Times New Roman"/>
          <w:i/>
        </w:rPr>
        <w:t xml:space="preserve"> </w:t>
      </w:r>
      <w:r>
        <w:rPr>
          <w:iCs/>
          <w:rFonts w:ascii="Times New Roman" w:hAnsi="Times New Roman"/>
          <w:i/>
        </w:rPr>
        <w:t xml:space="preserve">Prom</w:t>
      </w:r>
      <w:r>
        <w:rPr>
          <w:iCs/>
          <w:rFonts w:ascii="Times New Roman" w:hAnsi="Times New Roman"/>
          <w:i/>
        </w:rPr>
        <w:t xml:space="preserve">ě</w:t>
      </w:r>
      <w:r>
        <w:rPr>
          <w:iCs/>
          <w:rFonts w:ascii="Times New Roman" w:hAnsi="Times New Roman"/>
          <w:i/>
        </w:rPr>
        <w:t xml:space="preserve">na</w:t>
      </w:r>
      <w:r>
        <w:rPr>
          <w:iCs/>
          <w:rFonts w:ascii="Times New Roman" w:hAnsi="Times New Roman"/>
          <w:i/>
        </w:rPr>
        <w:t xml:space="preserve"> </w:t>
      </w:r>
      <w:r>
        <w:rPr>
          <w:iCs/>
          <w:rFonts w:ascii="Times New Roman" w:hAnsi="Times New Roman"/>
          <w:i/>
        </w:rPr>
        <w:t xml:space="preserve">v</w:t>
      </w:r>
      <w:r>
        <w:rPr>
          <w:iCs/>
          <w:rFonts w:ascii="Times New Roman" w:hAnsi="Times New Roman"/>
          <w:i/>
        </w:rPr>
        <w:t xml:space="preserve">ý</w:t>
      </w:r>
      <w:r>
        <w:rPr>
          <w:iCs/>
          <w:rFonts w:ascii="Times New Roman" w:hAnsi="Times New Roman"/>
          <w:i/>
        </w:rPr>
        <w:t xml:space="preserve">uky d</w:t>
      </w:r>
      <w:r>
        <w:rPr>
          <w:iCs/>
          <w:rFonts w:ascii="Times New Roman" w:hAnsi="Times New Roman"/>
          <w:i/>
        </w:rPr>
        <w:t xml:space="preserve">ě</w:t>
      </w:r>
      <w:r>
        <w:rPr>
          <w:iCs/>
          <w:rFonts w:ascii="Times New Roman" w:hAnsi="Times New Roman"/>
          <w:i/>
        </w:rPr>
        <w:t xml:space="preserve">jin 20. Stol. Na</w:t>
      </w:r>
      <w:r>
        <w:rPr>
          <w:iCs/>
          <w:rFonts w:ascii="Times New Roman" w:hAnsi="Times New Roman"/>
          <w:i/>
        </w:rPr>
        <w:t xml:space="preserve"> </w:t>
      </w:r>
      <w:r>
        <w:rPr>
          <w:iCs/>
          <w:rFonts w:ascii="Times New Roman" w:hAnsi="Times New Roman"/>
          <w:i/>
        </w:rPr>
        <w:t xml:space="preserve">č</w:t>
      </w:r>
      <w:r>
        <w:rPr>
          <w:iCs/>
          <w:rFonts w:ascii="Times New Roman" w:hAnsi="Times New Roman"/>
          <w:i/>
        </w:rPr>
        <w:t xml:space="preserve">esk</w:t>
      </w:r>
      <w:r>
        <w:rPr>
          <w:iCs/>
          <w:rFonts w:ascii="Times New Roman" w:hAnsi="Times New Roman"/>
          <w:i/>
        </w:rPr>
        <w:t xml:space="preserve">ý</w:t>
      </w:r>
      <w:r>
        <w:rPr>
          <w:iCs/>
          <w:rFonts w:ascii="Times New Roman" w:hAnsi="Times New Roman"/>
          <w:i/>
        </w:rPr>
        <w:t xml:space="preserve">ch z</w:t>
      </w:r>
      <w:r>
        <w:rPr>
          <w:iCs/>
          <w:rFonts w:ascii="Times New Roman" w:hAnsi="Times New Roman"/>
          <w:i/>
        </w:rPr>
        <w:t xml:space="preserve">á</w:t>
      </w:r>
      <w:r>
        <w:rPr>
          <w:iCs/>
          <w:rFonts w:ascii="Times New Roman" w:hAnsi="Times New Roman"/>
          <w:i/>
        </w:rPr>
        <w:t xml:space="preserve">kladn</w:t>
      </w:r>
      <w:r>
        <w:rPr>
          <w:iCs/>
          <w:rFonts w:ascii="Times New Roman" w:hAnsi="Times New Roman"/>
          <w:i/>
        </w:rPr>
        <w:t xml:space="preserve">í</w:t>
      </w:r>
      <w:r>
        <w:rPr>
          <w:iCs/>
          <w:rFonts w:ascii="Times New Roman" w:hAnsi="Times New Roman"/>
          <w:i/>
        </w:rPr>
        <w:t xml:space="preserve">ch</w:t>
      </w:r>
      <w:r>
        <w:rPr>
          <w:iCs/>
          <w:rFonts w:ascii="Times New Roman" w:hAnsi="Times New Roman"/>
          <w:i/>
        </w:rPr>
        <w:t xml:space="preserve"> </w:t>
      </w:r>
      <w:r>
        <w:rPr>
          <w:iCs/>
          <w:rFonts w:ascii="Times New Roman" w:hAnsi="Times New Roman"/>
          <w:i/>
        </w:rPr>
        <w:t xml:space="preserve">š</w:t>
      </w:r>
      <w:r>
        <w:rPr>
          <w:iCs/>
          <w:rFonts w:ascii="Times New Roman" w:hAnsi="Times New Roman"/>
          <w:i/>
        </w:rPr>
        <w:t xml:space="preserve">kol</w:t>
      </w:r>
      <w:r>
        <w:rPr>
          <w:iCs/>
          <w:rFonts w:ascii="Times New Roman" w:hAnsi="Times New Roman"/>
          <w:i/>
        </w:rPr>
        <w:t xml:space="preserve">á</w:t>
      </w:r>
      <w:r>
        <w:rPr>
          <w:iCs/>
          <w:rFonts w:ascii="Times New Roman" w:hAnsi="Times New Roman"/>
          <w:i/>
        </w:rPr>
        <w:t xml:space="preserve">ch (</w:t>
      </w:r>
      <w:r>
        <w:rPr>
          <w:iCs/>
          <w:rFonts w:ascii="Times New Roman" w:hAnsi="Times New Roman"/>
          <w:i/>
        </w:rPr>
        <w:t xml:space="preserve">“SINUS CZ”</w:t>
      </w:r>
      <w:r>
        <w:rPr>
          <w:iCs/>
          <w:rFonts w:ascii="Times New Roman" w:hAnsi="Times New Roman"/>
          <w:i/>
        </w:rPr>
        <w:t xml:space="preserve">)</w:t>
      </w:r>
      <w:r>
        <w:rPr>
          <w:rFonts w:ascii="Times New Roman" w:hAnsi="Times New Roman"/>
        </w:rPr>
        <w:t xml:space="preserve">. N</w:t>
      </w:r>
      <w:r>
        <w:rPr>
          <w:rFonts w:ascii="Times New Roman" w:hAnsi="Times New Roman"/>
        </w:rPr>
        <w:t xml:space="preserve">á</w:t>
      </w:r>
      <w:r>
        <w:rPr>
          <w:rFonts w:ascii="Times New Roman" w:hAnsi="Times New Roman"/>
        </w:rPr>
        <w:t xml:space="preserve">rodn</w:t>
      </w:r>
      <w:r>
        <w:rPr>
          <w:rFonts w:ascii="Times New Roman" w:hAnsi="Times New Roman"/>
        </w:rPr>
        <w:t xml:space="preserve">í</w:t>
      </w:r>
      <w:r>
        <w:rPr>
          <w:rFonts w:ascii="Times New Roman" w:hAnsi="Times New Roman"/>
        </w:rPr>
        <w:t xml:space="preserve"> </w:t>
      </w:r>
      <w:r>
        <w:rPr>
          <w:rFonts w:ascii="Times New Roman" w:hAnsi="Times New Roman"/>
        </w:rPr>
        <w:t xml:space="preserve">pedagogick</w:t>
      </w:r>
      <w:r>
        <w:rPr>
          <w:rFonts w:ascii="Times New Roman" w:hAnsi="Times New Roman"/>
        </w:rPr>
        <w:t xml:space="preserve">ý</w:t>
      </w:r>
      <w:r>
        <w:rPr>
          <w:rFonts w:ascii="Times New Roman" w:hAnsi="Times New Roman"/>
        </w:rPr>
        <w:t xml:space="preserve"> </w:t>
      </w:r>
      <w:r>
        <w:rPr>
          <w:rFonts w:ascii="Times New Roman" w:hAnsi="Times New Roman"/>
        </w:rPr>
        <w:t xml:space="preserve">institut</w:t>
      </w:r>
      <w:r>
        <w:rPr>
          <w:rFonts w:ascii="Times New Roman" w:hAnsi="Times New Roman"/>
        </w:rPr>
        <w:t xml:space="preserve"> </w:t>
      </w:r>
      <w:r>
        <w:rPr>
          <w:rFonts w:ascii="Times New Roman" w:hAnsi="Times New Roman"/>
        </w:rPr>
        <w:t xml:space="preserve">Č</w:t>
      </w:r>
      <w:r>
        <w:rPr>
          <w:rFonts w:ascii="Times New Roman" w:hAnsi="Times New Roman"/>
        </w:rPr>
        <w:t xml:space="preserve">esk</w:t>
      </w:r>
      <w:r>
        <w:rPr>
          <w:rFonts w:ascii="Times New Roman" w:hAnsi="Times New Roman"/>
        </w:rPr>
        <w:t xml:space="preserve">é</w:t>
      </w:r>
      <w:r>
        <w:rPr>
          <w:rFonts w:ascii="Times New Roman" w:hAnsi="Times New Roman"/>
        </w:rPr>
        <w:t xml:space="preserve"> </w:t>
      </w:r>
      <w:r>
        <w:rPr>
          <w:rFonts w:ascii="Times New Roman" w:hAnsi="Times New Roman"/>
        </w:rPr>
        <w:t xml:space="preserve">republiky.</w:t>
      </w:r>
      <w:r>
        <w:rPr>
          <w:rFonts w:ascii="Times New Roman" w:hAnsi="Times New Roman"/>
        </w:rPr>
        <w:t xml:space="preserve"> </w:t>
      </w:r>
      <w:hyperlink r:id="rId112">
        <w:r>
          <w:rPr>
            <w:rStyle w:val="Hyperlink"/>
          </w:rPr>
          <w:t xml:space="preserve">https://dejepisplus.npi.cz/wp-content/uploads/2024/01/zaverecna-zprava-d-web.pdf</w:t>
        </w:r>
      </w:hyperlink>
    </w:p>
    <w:bookmarkEnd w:id="113"/>
    <w:bookmarkStart w:id="115" w:name="ref-Ripka2024"/>
    <w:p>
      <w:pPr>
        <w:pStyle w:val="Bibliography"/>
        <w:spacing w:line="480" w:lineRule="auto"/>
      </w:pPr>
      <w:r>
        <w:rPr>
          <w:rFonts w:ascii="Times New Roman" w:hAnsi="Times New Roman"/>
        </w:rPr>
        <w:t xml:space="preserve">Ripka, V., Sýkorová, P., Münich, J., &amp; Chvojka, E. (2024). Epistemic cognition triangulated:</w:t>
      </w:r>
      <w:r>
        <w:rPr>
          <w:rFonts w:ascii="Times New Roman" w:hAnsi="Times New Roman"/>
        </w:rPr>
        <w:t xml:space="preserve"> </w:t>
      </w:r>
      <w:r>
        <w:rPr>
          <w:rFonts w:ascii="Times New Roman" w:hAnsi="Times New Roman"/>
        </w:rPr>
        <w:t xml:space="preserve">What</w:t>
      </w:r>
      <w:r>
        <w:rPr>
          <w:rFonts w:ascii="Times New Roman" w:hAnsi="Times New Roman"/>
        </w:rPr>
        <w:t xml:space="preserve"> </w:t>
      </w:r>
      <w:r>
        <w:rPr>
          <w:rFonts w:ascii="Times New Roman" w:hAnsi="Times New Roman"/>
        </w:rPr>
        <w:t xml:space="preserve">can we learn about the theory of epistemic beliefs in history from reassessment of its measurement. In H. Åström Elmersjö &amp; P. Zanazanian (Eds.),</w:t>
      </w:r>
      <w:r>
        <w:rPr>
          <w:rFonts w:ascii="Times New Roman" w:hAnsi="Times New Roman"/>
        </w:rPr>
        <w:t xml:space="preserve"> </w:t>
      </w:r>
      <w:r>
        <w:rPr>
          <w:iCs/>
          <w:rFonts w:ascii="Times New Roman" w:hAnsi="Times New Roman"/>
          <w:i/>
        </w:rPr>
        <w:t xml:space="preserve">Teachers and the epistemology of history</w:t>
      </w:r>
      <w:r>
        <w:rPr>
          <w:rFonts w:ascii="Times New Roman" w:hAnsi="Times New Roman"/>
        </w:rPr>
        <w:t xml:space="preserve"> </w:t>
      </w:r>
      <w:r>
        <w:rPr>
          <w:rFonts w:ascii="Times New Roman" w:hAnsi="Times New Roman"/>
        </w:rPr>
        <w:t xml:space="preserve">(pp. 307–324). Springer Nature Switzerland.</w:t>
      </w:r>
      <w:r>
        <w:rPr>
          <w:rFonts w:ascii="Times New Roman" w:hAnsi="Times New Roman"/>
        </w:rPr>
        <w:t xml:space="preserve"> </w:t>
      </w:r>
      <w:hyperlink r:id="rId114">
        <w:r>
          <w:rPr>
            <w:rStyle w:val="Hyperlink"/>
          </w:rPr>
          <w:t xml:space="preserve">https://doi.org/10.1007/978-3-031-58056-7_17</w:t>
        </w:r>
      </w:hyperlink>
    </w:p>
    <w:bookmarkEnd w:id="115"/>
    <w:bookmarkStart w:id="116" w:name="ref-Seixas2015b"/>
    <w:p>
      <w:pPr>
        <w:pStyle w:val="Bibliography"/>
        <w:spacing w:line="480" w:lineRule="auto"/>
      </w:pPr>
      <w:r>
        <w:rPr>
          <w:rFonts w:ascii="Times New Roman" w:hAnsi="Times New Roman"/>
        </w:rPr>
        <w:t xml:space="preserve">Seixas, P., Gibson, L., &amp; Ercikan, K. (2015). A design process for assessing historical thinking: The case of a one-hour test. In</w:t>
      </w:r>
      <w:r>
        <w:rPr>
          <w:rFonts w:ascii="Times New Roman" w:hAnsi="Times New Roman"/>
        </w:rPr>
        <w:t xml:space="preserve"> </w:t>
      </w:r>
      <w:r>
        <w:rPr>
          <w:iCs/>
          <w:rFonts w:ascii="Times New Roman" w:hAnsi="Times New Roman"/>
          <w:i/>
        </w:rPr>
        <w:t xml:space="preserve">New directions in assessing historical thinking</w:t>
      </w:r>
      <w:r>
        <w:rPr>
          <w:rFonts w:ascii="Times New Roman" w:hAnsi="Times New Roman"/>
        </w:rPr>
        <w:t xml:space="preserve"> </w:t>
      </w:r>
      <w:r>
        <w:rPr>
          <w:rFonts w:ascii="Times New Roman" w:hAnsi="Times New Roman"/>
        </w:rPr>
        <w:t xml:space="preserve">(pp. 102–116). Taylor &amp; Francis.</w:t>
      </w:r>
    </w:p>
    <w:bookmarkEnd w:id="116"/>
    <w:bookmarkStart w:id="118" w:name="ref-Seixas2013"/>
    <w:p>
      <w:pPr>
        <w:pStyle w:val="Bibliography"/>
        <w:spacing w:line="480" w:lineRule="auto"/>
      </w:pPr>
      <w:r>
        <w:rPr>
          <w:rFonts w:ascii="Times New Roman" w:hAnsi="Times New Roman"/>
        </w:rPr>
        <w:t xml:space="preserve">Seixas, P., &amp; Morton, T. (2013).</w:t>
      </w:r>
      <w:r>
        <w:rPr>
          <w:rFonts w:ascii="Times New Roman" w:hAnsi="Times New Roman"/>
        </w:rPr>
        <w:t xml:space="preserve"> </w:t>
      </w:r>
      <w:r>
        <w:rPr>
          <w:iCs/>
          <w:rFonts w:ascii="Times New Roman" w:hAnsi="Times New Roman"/>
          <w:i/>
        </w:rPr>
        <w:t xml:space="preserve">The big six – historical thinking concepts</w:t>
      </w:r>
      <w:r>
        <w:rPr>
          <w:rFonts w:ascii="Times New Roman" w:hAnsi="Times New Roman"/>
        </w:rPr>
        <w:t xml:space="preserve">. Nelson Education.</w:t>
      </w:r>
      <w:r>
        <w:rPr>
          <w:rFonts w:ascii="Times New Roman" w:hAnsi="Times New Roman"/>
        </w:rPr>
        <w:t xml:space="preserve"> </w:t>
      </w:r>
      <w:hyperlink r:id="rId117">
        <w:r>
          <w:rPr>
            <w:rStyle w:val="Hyperlink"/>
          </w:rPr>
          <w:t xml:space="preserve">https://archive.org/embed/bigsixhistorical0000seix</w:t>
        </w:r>
      </w:hyperlink>
    </w:p>
    <w:bookmarkEnd w:id="118"/>
    <w:bookmarkStart w:id="120" w:name="ref-Smith2017"/>
    <w:p>
      <w:pPr>
        <w:pStyle w:val="Bibliography"/>
        <w:spacing w:line="480" w:lineRule="auto"/>
      </w:pPr>
      <w:r>
        <w:rPr>
          <w:rFonts w:ascii="Times New Roman" w:hAnsi="Times New Roman"/>
        </w:rPr>
        <w:t xml:space="preserve">Smith, M. (2017). Cognitive validity: Can multiple-choice items tap historical thinking processes?</w:t>
      </w:r>
      <w:r>
        <w:rPr>
          <w:rFonts w:ascii="Times New Roman" w:hAnsi="Times New Roman"/>
        </w:rPr>
        <w:t xml:space="preserve"> </w:t>
      </w:r>
      <w:r>
        <w:rPr>
          <w:iCs/>
          <w:rFonts w:ascii="Times New Roman" w:hAnsi="Times New Roman"/>
          <w:i/>
        </w:rPr>
        <w:t xml:space="preserve">American Educational Research Journal</w:t>
      </w:r>
      <w:r>
        <w:rPr>
          <w:rFonts w:ascii="Times New Roman" w:hAnsi="Times New Roman"/>
        </w:rPr>
        <w:t xml:space="preserve">,</w:t>
      </w:r>
      <w:r>
        <w:rPr>
          <w:rFonts w:ascii="Times New Roman" w:hAnsi="Times New Roman"/>
        </w:rPr>
        <w:t xml:space="preserve"> </w:t>
      </w:r>
      <w:r>
        <w:rPr>
          <w:iCs/>
          <w:rFonts w:ascii="Times New Roman" w:hAnsi="Times New Roman"/>
          <w:i/>
        </w:rPr>
        <w:t xml:space="preserve">54</w:t>
      </w:r>
      <w:r>
        <w:rPr>
          <w:rFonts w:ascii="Times New Roman" w:hAnsi="Times New Roman"/>
        </w:rPr>
        <w:t xml:space="preserve">(10), 1256–1287.</w:t>
      </w:r>
      <w:r>
        <w:rPr>
          <w:rFonts w:ascii="Times New Roman" w:hAnsi="Times New Roman"/>
        </w:rPr>
        <w:t xml:space="preserve"> </w:t>
      </w:r>
      <w:hyperlink r:id="rId119">
        <w:r>
          <w:rPr>
            <w:rStyle w:val="Hyperlink"/>
          </w:rPr>
          <w:t xml:space="preserve">https://doi.org/10.3102/0002831217717949</w:t>
        </w:r>
      </w:hyperlink>
    </w:p>
    <w:bookmarkEnd w:id="120"/>
    <w:bookmarkStart w:id="122" w:name="ref-Smith2018"/>
    <w:p>
      <w:pPr>
        <w:pStyle w:val="Bibliography"/>
        <w:spacing w:line="480" w:lineRule="auto"/>
      </w:pPr>
      <w:r>
        <w:rPr>
          <w:rFonts w:ascii="Times New Roman" w:hAnsi="Times New Roman"/>
        </w:rPr>
        <w:t xml:space="preserve">Smith, M., Breakstone, J., &amp; Wineburg, S. (2018). History assessments of thinking: A validity study.</w:t>
      </w:r>
      <w:r>
        <w:rPr>
          <w:rFonts w:ascii="Times New Roman" w:hAnsi="Times New Roman"/>
        </w:rPr>
        <w:t xml:space="preserve"> </w:t>
      </w:r>
      <w:r>
        <w:rPr>
          <w:iCs/>
          <w:rFonts w:ascii="Times New Roman" w:hAnsi="Times New Roman"/>
          <w:i/>
        </w:rPr>
        <w:t xml:space="preserve">Cognition and Instruction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37</w:t>
      </w:r>
      <w:r>
        <w:rPr>
          <w:rFonts w:ascii="Times New Roman" w:hAnsi="Times New Roman"/>
        </w:rPr>
        <w:t xml:space="preserve">(1), 118–144.</w:t>
      </w:r>
      <w:r>
        <w:rPr>
          <w:rFonts w:ascii="Times New Roman" w:hAnsi="Times New Roman"/>
        </w:rPr>
        <w:t xml:space="preserve"> </w:t>
      </w:r>
      <w:hyperlink r:id="rId121">
        <w:r>
          <w:rPr>
            <w:rStyle w:val="Hyperlink"/>
          </w:rPr>
          <w:t xml:space="preserve">https://doi.org/10.1080/07370008.2018.1499646</w:t>
        </w:r>
      </w:hyperlink>
    </w:p>
    <w:bookmarkEnd w:id="122"/>
    <w:bookmarkStart w:id="124" w:name="ref-Suedfeld1977"/>
    <w:p>
      <w:pPr>
        <w:pStyle w:val="Bibliography"/>
        <w:spacing w:line="480" w:lineRule="auto"/>
      </w:pPr>
      <w:r>
        <w:rPr>
          <w:rFonts w:ascii="Times New Roman" w:hAnsi="Times New Roman"/>
        </w:rPr>
        <w:t xml:space="preserve">Suedfeld, P., &amp; Tetlock, P. (1977). Integrative complexity of communications in international crises.</w:t>
      </w:r>
      <w:r>
        <w:rPr>
          <w:rFonts w:ascii="Times New Roman" w:hAnsi="Times New Roman"/>
        </w:rPr>
        <w:t xml:space="preserve"> </w:t>
      </w:r>
      <w:r>
        <w:rPr>
          <w:iCs/>
          <w:rFonts w:ascii="Times New Roman" w:hAnsi="Times New Roman"/>
          <w:i/>
        </w:rPr>
        <w:t xml:space="preserve">Journal of Conflict Resolution</w:t>
      </w:r>
      <w:r>
        <w:rPr>
          <w:rFonts w:ascii="Times New Roman" w:hAnsi="Times New Roman"/>
        </w:rPr>
        <w:t xml:space="preserve">,</w:t>
      </w:r>
      <w:r>
        <w:rPr>
          <w:rFonts w:ascii="Times New Roman" w:hAnsi="Times New Roman"/>
        </w:rPr>
        <w:t xml:space="preserve"> </w:t>
      </w:r>
      <w:r>
        <w:rPr>
          <w:iCs/>
          <w:rFonts w:ascii="Times New Roman" w:hAnsi="Times New Roman"/>
          <w:i/>
        </w:rPr>
        <w:t xml:space="preserve">21</w:t>
      </w:r>
      <w:r>
        <w:rPr>
          <w:rFonts w:ascii="Times New Roman" w:hAnsi="Times New Roman"/>
        </w:rPr>
        <w:t xml:space="preserve">(1), 169–184.</w:t>
      </w:r>
      <w:r>
        <w:rPr>
          <w:rFonts w:ascii="Times New Roman" w:hAnsi="Times New Roman"/>
        </w:rPr>
        <w:t xml:space="preserve"> </w:t>
      </w:r>
      <w:hyperlink r:id="rId123">
        <w:r>
          <w:rPr>
            <w:rStyle w:val="Hyperlink"/>
          </w:rPr>
          <w:t xml:space="preserve">https://doi.org/10.1177/002200277702100108</w:t>
        </w:r>
      </w:hyperlink>
    </w:p>
    <w:bookmarkEnd w:id="124"/>
    <w:bookmarkStart w:id="126" w:name="ref-VanBoxtel2018"/>
    <w:p>
      <w:pPr>
        <w:pStyle w:val="Bibliography"/>
        <w:spacing w:line="480" w:lineRule="auto"/>
      </w:pPr>
      <w:r>
        <w:rPr>
          <w:rFonts w:ascii="Times New Roman" w:hAnsi="Times New Roman"/>
        </w:rPr>
        <w:t xml:space="preserve">Van Boxtel, C., &amp; Van Drie, J. (2018). Historical reasoning: Conceptualizations and educational applications. In S. A. Metzger &amp; L. M. Harris (Eds.),</w:t>
      </w:r>
      <w:r>
        <w:rPr>
          <w:rFonts w:ascii="Times New Roman" w:hAnsi="Times New Roman"/>
        </w:rPr>
        <w:t xml:space="preserve"> </w:t>
      </w:r>
      <w:r>
        <w:rPr>
          <w:iCs/>
          <w:rFonts w:ascii="Times New Roman" w:hAnsi="Times New Roman"/>
          <w:i/>
        </w:rPr>
        <w:t xml:space="preserve">The wiley international handbook of history teaching and learning</w:t>
      </w:r>
      <w:r>
        <w:rPr>
          <w:rFonts w:ascii="Times New Roman" w:hAnsi="Times New Roman"/>
        </w:rPr>
        <w:t xml:space="preserve"> </w:t>
      </w:r>
      <w:r>
        <w:rPr>
          <w:rFonts w:ascii="Times New Roman" w:hAnsi="Times New Roman"/>
        </w:rPr>
        <w:t xml:space="preserve">(1st ed., pp. 149–176). Wiley.</w:t>
      </w:r>
      <w:r>
        <w:rPr>
          <w:rFonts w:ascii="Times New Roman" w:hAnsi="Times New Roman"/>
        </w:rPr>
        <w:t xml:space="preserve"> </w:t>
      </w:r>
      <w:hyperlink r:id="rId125">
        <w:r>
          <w:rPr>
            <w:rStyle w:val="Hyperlink"/>
          </w:rPr>
          <w:t xml:space="preserve">https://doi.org/10.1002/9781119100812.ch6</w:t>
        </w:r>
      </w:hyperlink>
    </w:p>
    <w:bookmarkEnd w:id="126"/>
    <w:bookmarkStart w:id="127" w:name="ref-Wineburg2001"/>
    <w:p>
      <w:pPr>
        <w:pStyle w:val="Bibliography"/>
        <w:spacing w:line="480" w:lineRule="auto"/>
      </w:pPr>
      <w:r>
        <w:rPr>
          <w:rFonts w:ascii="Times New Roman" w:hAnsi="Times New Roman"/>
        </w:rPr>
        <w:t xml:space="preserve">Wineburg, S. (2001).</w:t>
      </w:r>
      <w:r>
        <w:rPr>
          <w:rFonts w:ascii="Times New Roman" w:hAnsi="Times New Roman"/>
        </w:rPr>
        <w:t xml:space="preserve"> </w:t>
      </w:r>
      <w:r>
        <w:rPr>
          <w:iCs/>
          <w:rFonts w:ascii="Times New Roman" w:hAnsi="Times New Roman"/>
          <w:i/>
        </w:rPr>
        <w:t xml:space="preserve">Historical thinking and other unnatural acts—charting the future of teaching the past</w:t>
      </w:r>
      <w:r>
        <w:rPr>
          <w:rFonts w:ascii="Times New Roman" w:hAnsi="Times New Roman"/>
        </w:rPr>
        <w:t xml:space="preserve">. Temple University Press.</w:t>
      </w:r>
    </w:p>
    <w:bookmarkEnd w:id="127"/>
    <w:bookmarkEnd w:id="128"/>
    <w:bookmarkEnd w:id="129"/>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sz w:val="24"/>
    </w:rPr>
  </w:style>
  <w:style w:styleId="BodyText" w:type="paragraph">
    <w:name w:val="Body Text"/>
    <w:basedOn w:val="Normal"/>
    <w:link w:val="BodyTextChar"/>
    <w:pPr>
      <w:spacing w:after="0" w:before="0" w:line="480" w:lineRule="auto"/>
    </w:pPr>
    <w:qFormat/>
    <w:rPr>
      <w:rFonts w:ascii="Times New Roman" w:hAnsi="Times New Roman"/>
      <w:sz w:val="24"/>
    </w:rPr>
  </w:style>
  <w:style w:customStyle="1" w:styleId="FirstParagraph" w:type="paragraph">
    <w:name w:val="First Paragraph"/>
    <w:basedOn w:val="BodyText"/>
    <w:next w:val="BodyText"/>
    <w:qFormat/>
    <w:pPr>
      <w:spacing w:line="480" w:lineRule="auto" w:before="0" w:after="0"/>
    </w:pPr>
    <w:rPr>
      <w:rFonts w:ascii="Times New Roman" w:hAnsi="Times New Roman"/>
      <w:sz w:val="24"/>
    </w:rPr>
  </w:style>
  <w:style w:customStyle="1" w:styleId="Compact" w:type="paragraph">
    <w:name w:val="Compact"/>
    <w:basedOn w:val="BodyText"/>
    <w:qFormat/>
    <w:pPr>
      <w:spacing w:after="0" w:before="0" w:line="480" w:lineRule="auto"/>
    </w:pPr>
    <w:rPr>
      <w:rFonts w:ascii="Times New Roman" w:hAnsi="Times New Roman"/>
      <w:sz w:val="24"/>
    </w:rPr>
  </w:style>
  <w:style w:styleId="Title" w:type="paragraph">
    <w:name w:val="Title"/>
    <w:basedOn w:val="Normal"/>
    <w:next w:val="BodyText"/>
    <w:qFormat/>
    <w:pPr>
      <w:keepNext/>
      <w:keepLines/>
      <w:spacing w:after="0" w:before="0" w:line="480" w:lineRule="auto"/>
      <w:jc w:val="center"/>
    </w:pPr>
    <w:rPr>
      <w:rFonts w:asciiTheme="majorHAnsi" w:cstheme="majorBidi" w:eastAsiaTheme="majorEastAsia" w:hAnsiTheme="majorHAnsi" w:ascii="Times New Roman" w:hAnsi="Times New Roman"/>
      <w:b/>
      <w:bCs/>
      <w:color w:themeColor="accent1" w:themeShade="B5" w:val="345A8A"/>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sz w:val="24"/>
    </w:rPr>
  </w:style>
  <w:style w:styleId="Date" w:type="paragraph">
    <w:name w:val="Date"/>
    <w:next w:val="BodyText"/>
    <w:qFormat/>
    <w:pPr>
      <w:keepNext/>
      <w:keepLines/>
      <w:spacing w:line="480" w:lineRule="auto" w:before="0" w:after="0"/>
      <w:jc w:val="center"/>
    </w:pPr>
    <w:rPr>
      <w:rFonts w:ascii="Times New Roman" w:hAnsi="Times New Roman"/>
      <w:sz w:val="24"/>
    </w:rPr>
  </w:style>
  <w:style w:customStyle="1" w:styleId="AbstractTitle" w:type="paragraph">
    <w:name w:val="Abstract Title"/>
    <w:basedOn w:val="Normal"/>
    <w:next w:val="Abstract"/>
    <w:qFormat/>
    <w:pPr>
      <w:keepNext/>
      <w:keepLines/>
      <w:jc w:val="center"/>
      <w:spacing w:after="0" w:before="0" w:line="480" w:lineRule="auto"/>
    </w:pPr>
    <w:rPr>
      <w:sz w:val="24"/>
      <w:szCs w:val="20"/>
      <w:rFonts w:ascii="Times New Roman" w:hAnsi="Times New Roman"/>
      <w:b/>
      <w:color w:val="345A8A"/>
      &gt;
    </w:rPr>
  </w:style>
  <w:style w:customStyle="1" w:styleId="Abstract" w:type="paragraph">
    <w:name w:val="Abstract"/>
    <w:basedOn w:val="Normal"/>
    <w:next w:val="BodyText"/>
    <w:qFormat/>
    <w:pPr>
      <w:keepNext/>
      <w:keepLines/>
      <w:spacing w:after="0" w:before="0" w:line="480" w:lineRule="auto"/>
    </w:pPr>
    <w:rPr>
      <w:rFonts w:ascii="Times New Roman" w:hAnsi="Times New Roman"/>
      <w:sz w:val="24"/>
      <w:szCs w:val="20"/>
    </w:rPr>
  </w:style>
  <w:style w:styleId="Bibliography" w:type="paragraph">
    <w:name w:val="Bibliography"/>
    <w:basedOn w:val="Normal"/>
    <w:next w:val="Bibliography"/>
    <w:qFormat/>
    <w:pPr>
      <w:spacing w:line="480" w:lineRule="auto" w:before="0" w:after="0"/>
    </w:pPr>
    <w:rPr>
      <w:rFonts w:ascii="Times New Roman" w:hAnsi="Times New Roman"/>
      <w:sz w:val="24"/>
    </w:rPr>
  </w:style>
  <w:style w:styleId="Heading1" w:type="paragraph">
    <w:name w:val="Heading 1"/>
    <w:basedOn w:val="Normal"/>
    <w:next w:val="BodyText"/>
    <w:uiPriority w:val="9"/>
    <w:qFormat/>
    <w:pPr>
      <w:keepNext/>
      <w:keepLines/>
      <w:spacing w:after="0" w:before="0" w:line="480" w:lineRule="auto"/>
      <w:outlineLvl w:val="0"/>
    </w:pPr>
    <w:rPr>
      <w:rFonts w:asciiTheme="majorHAnsi" w:cstheme="majorBidi" w:eastAsiaTheme="majorEastAsia" w:hAnsiTheme="majorHAnsi" w:ascii="Times New Roman" w:hAnsi="Times New Roman"/>
      <w:b/>
      <w:bCs/>
      <w:color w:themeColor="accent1" w:val="4F81BD"/>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heme="majorHAnsi" w:cstheme="majorBidi" w:eastAsiaTheme="majorEastAsia" w:hAnsiTheme="majorHAnsi" w:ascii="Times New Roman" w:hAnsi="Times New Roman"/>
      <w:b/>
      <w:bCs/>
      <w:color w:themeColor="accent1" w:val="4F81BD"/>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heme="majorHAnsi" w:cstheme="majorBidi" w:eastAsiaTheme="majorEastAsia" w:hAnsiTheme="majorHAnsi" w:ascii="Times New Roman" w:hAnsi="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0" w:line="480" w:lineRule="auto"/>
      <w:outlineLvl w:val="3"/>
    </w:pPr>
    <w:rPr>
      <w:rFonts w:asciiTheme="majorHAnsi" w:cstheme="majorBidi" w:eastAsiaTheme="majorEastAsia" w:hAnsiTheme="majorHAnsi" w:ascii="Times New Roman" w:hAnsi="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0" w:line="480" w:lineRule="auto"/>
      <w:outlineLvl w:val="4"/>
    </w:pPr>
    <w:rPr>
      <w:rFonts w:asciiTheme="majorHAnsi" w:cstheme="majorBidi" w:eastAsiaTheme="majorEastAsia" w:hAnsiTheme="majorHAnsi" w:ascii="Times New Roman" w:hAnsi="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0" w:line="480" w:lineRule="auto"/>
      <w:outlineLvl w:val="5"/>
    </w:pPr>
    <w:rPr>
      <w:rFonts w:asciiTheme="majorHAnsi" w:cstheme="majorBidi" w:eastAsiaTheme="majorEastAsia" w:hAnsiTheme="majorHAnsi" w:ascii="Times New Roman" w:hAnsi="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0" w:line="480" w:lineRule="auto"/>
      <w:outlineLvl w:val="6"/>
    </w:pPr>
    <w:rPr>
      <w:rFonts w:asciiTheme="majorHAnsi" w:cstheme="majorBidi" w:eastAsiaTheme="majorEastAsia" w:hAnsiTheme="majorHAnsi" w:ascii="Times New Roman" w:hAnsi="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0" w:line="480" w:lineRule="auto"/>
      <w:outlineLvl w:val="7"/>
    </w:pPr>
    <w:rPr>
      <w:rFonts w:asciiTheme="majorHAnsi" w:cstheme="majorBidi" w:eastAsiaTheme="majorEastAsia" w:hAnsiTheme="majorHAnsi" w:ascii="Times New Roman" w:hAnsi="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0" w:line="480" w:lineRule="auto"/>
      <w:outlineLvl w:val="8"/>
    </w:pPr>
    <w:rPr>
      <w:rFonts w:asciiTheme="majorHAnsi" w:cstheme="majorBidi" w:eastAsiaTheme="majorEastAsia" w:hAnsiTheme="majorHAnsi" w:ascii="Times New Roman" w:hAnsi="Times New Roman"/>
      <w:color w:themeColor="accent1" w:val="4F81BD"/>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sz w:val="24"/>
    </w:rPr>
  </w:style>
  <w:style w:styleId="FootnoteText" w:type="paragraph">
    <w:name w:val="Footnote Text"/>
    <w:basedOn w:val="Normal"/>
    <w:next w:val="FootnoteText"/>
    <w:uiPriority w:val="9"/>
    <w:unhideWhenUsed/>
    <w:qFormat/>
    <w:pPr>
      <w:spacing w:line="480" w:lineRule="auto" w:before="0" w:after="0"/>
    </w:pPr>
    <w:rPr>
      <w:rFonts w:ascii="Times New Roman" w:hAnsi="Times New Roman"/>
      <w:sz w:val="24"/>
    </w:rPr>
  </w:style>
  <w:style w:default="1" w:styleId="DefaultParagraphFont" w:type="character">
    <w:name w:val="Default Paragraph Font"/>
    <w:semiHidden/>
    <w:unhideWhenUsed/>
    <w:rPr>
      <w:rFonts w:ascii="Times New Roman" w:hAnsi="Times New Roman"/>
      <w:sz w:val="24"/>
    </w:rPr>
  </w:style>
  <w:style w:default="1" w:styleId="Table" w:type="table">
    <w:name w:val="Table"/>
    <w:basedOn w:val="TableNormal"/>
    <w:semiHidden/>
    <w:unhideWhenUsed/>
    <w:qFormat/>
    <w:pPr>
      <w:spacing w:line="480" w:lineRule="auto" w:before="0" w:after="0"/>
    </w:pPr>
    <w:rPr>
      <w:rFonts w:ascii="Times New Roman" w:hAnsi="Times New Roman"/>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480" w:lineRule="auto" w:before="0"/>
    </w:pPr>
    <w:rPr>
      <w:rFonts w:ascii="Times New Roman" w:hAnsi="Times New Roman"/>
      <w:b/>
      <w:sz w:val="24"/>
    </w:rPr>
  </w:style>
  <w:style w:customStyle="1" w:styleId="Definition" w:type="paragraph">
    <w:name w:val="Definition"/>
    <w:basedOn w:val="Normal"/>
    <w:pPr>
      <w:spacing w:line="480" w:lineRule="auto" w:before="0" w:after="0"/>
    </w:pPr>
    <w:rPr>
      <w:rFonts w:ascii="Times New Roman" w:hAnsi="Times New Roman"/>
      <w:sz w:val="24"/>
    </w:rPr>
  </w:style>
  <w:style w:styleId="Caption" w:type="paragraph">
    <w:name w:val="Caption"/>
    <w:basedOn w:val="Normal"/>
    <w:link w:val="BodyTextChar"/>
    <w:pPr>
      <w:spacing w:after="0" w:before="0" w:line="480" w:lineRule="auto"/>
    </w:pPr>
    <w:rPr>
      <w:rFonts w:ascii="Times New Roman" w:hAnsi="Times New Roman"/>
      <w:i/>
      <w:sz w:val="24"/>
    </w:rPr>
  </w:style>
  <w:style w:customStyle="1" w:styleId="TableCaption" w:type="paragraph">
    <w:name w:val="Table Caption"/>
    <w:basedOn w:val="Caption"/>
    <w:pPr>
      <w:keepNext/>
      <w:spacing w:line="480" w:lineRule="auto" w:before="0" w:after="0"/>
    </w:pPr>
    <w:rPr>
      <w:rFonts w:ascii="Times New Roman" w:hAnsi="Times New Roman"/>
      <w:sz w:val="24"/>
    </w:rPr>
  </w:style>
  <w:style w:customStyle="1" w:styleId="ImageCaption" w:type="paragraph">
    <w:name w:val="Image Caption"/>
    <w:basedOn w:val="Caption"/>
    <w:pPr>
      <w:spacing w:line="480" w:lineRule="auto" w:before="0" w:after="0"/>
    </w:pPr>
    <w:rPr>
      <w:rFonts w:ascii="Times New Roman" w:hAnsi="Times New Roman"/>
      <w:sz w:val="24"/>
    </w:rPr>
  </w:style>
  <w:style w:customStyle="1" w:styleId="Figure" w:type="paragraph">
    <w:name w:val="Figure"/>
    <w:basedOn w:val="Normal"/>
    <w:pPr>
      <w:spacing w:line="480" w:lineRule="auto" w:before="0" w:after="0"/>
    </w:pPr>
    <w:rPr>
      <w:rFonts w:ascii="Times New Roman" w:hAnsi="Times New Roman"/>
      <w:sz w:val="24"/>
    </w:rPr>
  </w:style>
  <w:style w:customStyle="1" w:styleId="CaptionedFigure" w:type="paragraph">
    <w:name w:val="Captioned Figure"/>
    <w:basedOn w:val="Figure"/>
    <w:pPr>
      <w:keepNext/>
      <w:spacing w:line="480" w:lineRule="auto" w:before="0" w:after="0"/>
    </w:pPr>
    <w:rPr>
      <w:rFonts w:ascii="Times New Roman" w:hAnsi="Times New Roman"/>
      <w:sz w:val="24"/>
    </w:rPr>
  </w:style>
  <w:style w:customStyle="1" w:styleId="BodyTextChar" w:type="character">
    <w:name w:val="Body Text Char"/>
    <w:basedOn w:val="DefaultParagraphFont"/>
    <w:link w:val="BodyText"/>
    <w:rPr>
      <w:rFonts w:ascii="Times New Roman" w:hAnsi="Times New Roman"/>
      <w:sz w:val="24"/>
    </w:rPr>
  </w:style>
  <w:style w:customStyle="1" w:styleId="VerbatimChar" w:type="character">
    <w:name w:val="Verbatim Char"/>
    <w:basedOn w:val="BodyTextChar"/>
    <w:rPr>
      <w:rFonts w:ascii="Times New Roman" w:hAnsi="Times New Roman"/>
      <w:sz w:val="24"/>
    </w:rPr>
  </w:style>
  <w:style w:customStyle="1" w:styleId="SectionNumber" w:type="character">
    <w:name w:val="Section Number"/>
    <w:basedOn w:val="BodyTextChar"/>
    <w:rPr>
      <w:rFonts w:ascii="Times New Roman" w:hAnsi="Times New Roman"/>
      <w:sz w:val="24"/>
    </w:rPr>
  </w:style>
  <w:style w:styleId="FootnoteReference" w:type="character">
    <w:name w:val="Footnote Reference"/>
    <w:basedOn w:val="BodyTextChar"/>
    <w:rPr>
      <w:rFonts w:ascii="Times New Roman" w:hAnsi="Times New Roman"/>
      <w:sz w:val="24"/>
      <w:vertAlign w:val="superscript"/>
    </w:rPr>
  </w:style>
  <w:style w:styleId="Hyperlink" w:type="character">
    <w:name w:val="Hyperlink"/>
    <w:basedOn w:val="BodyTextChar"/>
    <w:rPr>
      <w:rFonts w:ascii="Times New Roman" w:hAnsi="Times New Roman"/>
      <w:color w:themeColor="accent1" w:val="4F81BD"/>
      <w:sz w:val="24"/>
    </w:rPr>
  </w:style>
  <w:style w:styleId="TOCHeading" w:type="paragraph">
    <w:name w:val="TOC Heading"/>
    <w:basedOn w:val="Heading1"/>
    <w:next w:val="BodyText"/>
    <w:uiPriority w:val="39"/>
    <w:unhideWhenUsed/>
    <w:qFormat/>
    <w:pPr>
      <w:spacing w:before="0" w:line="480" w:lineRule="auto" w:after="0"/>
      <w:outlineLvl w:val="9"/>
    </w:pPr>
    <w:rPr>
      <w:rFonts w:asciiTheme="majorHAnsi" w:cstheme="majorBidi" w:eastAsiaTheme="majorEastAsia" w:hAnsiTheme="majorHAnsi" w:ascii="Times New Roman" w:hAnsi="Times New Roman"/>
      <w:b w:val="0"/>
      <w:bCs w:val="0"/>
      <w:color w:themeColor="accent1" w:themeShade="BF" w:val="365F91"/>
      <w:sz w:val="24"/>
    </w:rPr>
  </w:style>
  <w:style w:type="paragraph" w:customStyle="1" w:styleId="SourceCode">
    <w:name w:val="Source Code"/>
    <w:basedOn w:val="Normal"/>
    <w:link w:val="VerbatimChar"/>
    <w:pPr>
      <w:wordWrap w:val="off"/>
      <w:spacing w:line="480" w:lineRule="auto" w:before="0" w:after="0"/>
    </w:pPr>
    <w:rPr>
      <w:rFonts w:ascii="Times New Roman" w:hAnsi="Times New Roman"/>
      <w:sz w:val="24"/>
    </w:rPr>
  </w:style>
  <w:style w:type="character" w:customStyle="1" w:styleId="KeywordTok">
    <w:name w:val="KeywordTok"/>
    <w:basedOn w:val="VerbatimChar"/>
    <w:rPr>
      <w:color w:val="007020"/>
      <w:rFonts w:ascii="Times New Roman" w:hAnsi="Times New Roman"/>
      <w:b/>
      <w:sz w:val="24"/>
    </w:rPr>
  </w:style>
  <w:style w:type="character" w:customStyle="1" w:styleId="DataTypeTok">
    <w:name w:val="DataTypeTok"/>
    <w:basedOn w:val="VerbatimChar"/>
    <w:rPr>
      <w:rFonts w:ascii="Times New Roman" w:hAnsi="Times New Roman"/>
      <w:color w:val="902000"/>
      <w:sz w:val="24"/>
    </w:rPr>
  </w:style>
  <w:style w:type="character" w:customStyle="1" w:styleId="DecValTok">
    <w:name w:val="DecValTok"/>
    <w:basedOn w:val="VerbatimChar"/>
    <w:rPr>
      <w:rFonts w:ascii="Times New Roman" w:hAnsi="Times New Roman"/>
      <w:color w:val="40a070"/>
      <w:sz w:val="24"/>
    </w:rPr>
  </w:style>
  <w:style w:type="character" w:customStyle="1" w:styleId="BaseNTok">
    <w:name w:val="BaseNTok"/>
    <w:basedOn w:val="VerbatimChar"/>
    <w:rPr>
      <w:rFonts w:ascii="Times New Roman" w:hAnsi="Times New Roman"/>
      <w:color w:val="40a070"/>
      <w:sz w:val="24"/>
    </w:rPr>
  </w:style>
  <w:style w:type="character" w:customStyle="1" w:styleId="FloatTok">
    <w:name w:val="FloatTok"/>
    <w:basedOn w:val="VerbatimChar"/>
    <w:rPr>
      <w:rFonts w:ascii="Times New Roman" w:hAnsi="Times New Roman"/>
      <w:color w:val="40a070"/>
      <w:sz w:val="24"/>
    </w:rPr>
  </w:style>
  <w:style w:type="character" w:customStyle="1" w:styleId="ConstantTok">
    <w:name w:val="ConstantTok"/>
    <w:basedOn w:val="VerbatimChar"/>
    <w:rPr>
      <w:rFonts w:ascii="Times New Roman" w:hAnsi="Times New Roman"/>
      <w:color w:val="880000"/>
      <w:sz w:val="24"/>
    </w:rPr>
  </w:style>
  <w:style w:type="character" w:customStyle="1" w:styleId="CharTok">
    <w:name w:val="CharTok"/>
    <w:basedOn w:val="VerbatimChar"/>
    <w:rPr>
      <w:rFonts w:ascii="Times New Roman" w:hAnsi="Times New Roman"/>
      <w:color w:val="4070a0"/>
      <w:sz w:val="24"/>
    </w:rPr>
  </w:style>
  <w:style w:type="character" w:customStyle="1" w:styleId="SpecialCharTok">
    <w:name w:val="SpecialCharTok"/>
    <w:basedOn w:val="VerbatimChar"/>
    <w:rPr>
      <w:rFonts w:ascii="Times New Roman" w:hAnsi="Times New Roman"/>
      <w:color w:val="4070a0"/>
      <w:sz w:val="24"/>
    </w:rPr>
  </w:style>
  <w:style w:type="character" w:customStyle="1" w:styleId="StringTok">
    <w:name w:val="StringTok"/>
    <w:basedOn w:val="VerbatimChar"/>
    <w:rPr>
      <w:rFonts w:ascii="Times New Roman" w:hAnsi="Times New Roman"/>
      <w:color w:val="4070a0"/>
      <w:sz w:val="24"/>
    </w:rPr>
  </w:style>
  <w:style w:type="character" w:customStyle="1" w:styleId="VerbatimStringTok">
    <w:name w:val="VerbatimStringTok"/>
    <w:basedOn w:val="VerbatimChar"/>
    <w:rPr>
      <w:rFonts w:ascii="Times New Roman" w:hAnsi="Times New Roman"/>
      <w:color w:val="4070a0"/>
      <w:sz w:val="24"/>
    </w:rPr>
  </w:style>
  <w:style w:type="character" w:customStyle="1" w:styleId="SpecialStringTok">
    <w:name w:val="SpecialStringTok"/>
    <w:basedOn w:val="VerbatimChar"/>
    <w:rPr>
      <w:rFonts w:ascii="Times New Roman" w:hAnsi="Times New Roman"/>
      <w:color w:val="bb6688"/>
      <w:sz w:val="24"/>
    </w:rPr>
  </w:style>
  <w:style w:type="character" w:customStyle="1" w:styleId="ImportTok">
    <w:name w:val="ImportTok"/>
    <w:basedOn w:val="VerbatimChar"/>
    <w:rPr>
      <w:color w:val="008000"/>
      <w:rFonts w:ascii="Times New Roman" w:hAnsi="Times New Roman"/>
      <w:b/>
      <w:sz w:val="24"/>
    </w:rPr>
  </w:style>
  <w:style w:type="character" w:customStyle="1" w:styleId="CommentTok">
    <w:name w:val="CommentTok"/>
    <w:basedOn w:val="VerbatimChar"/>
    <w:rPr>
      <w:color w:val="60a0b0"/>
      <w:rFonts w:ascii="Times New Roman" w:hAnsi="Times New Roman"/>
      <w:i/>
      <w:sz w:val="24"/>
    </w:rPr>
  </w:style>
  <w:style w:type="character" w:customStyle="1" w:styleId="DocumentationTok">
    <w:name w:val="DocumentationTok"/>
    <w:basedOn w:val="VerbatimChar"/>
    <w:rPr>
      <w:color w:val="ba2121"/>
      <w:rFonts w:ascii="Times New Roman" w:hAnsi="Times New Roman"/>
      <w:i/>
      <w:sz w:val="24"/>
    </w:rPr>
  </w:style>
  <w:style w:type="character" w:customStyle="1" w:styleId="AnnotationTok">
    <w:name w:val="AnnotationTok"/>
    <w:basedOn w:val="VerbatimChar"/>
    <w:rPr>
      <w:color w:val="60a0b0"/>
      <w:rFonts w:ascii="Times New Roman" w:hAnsi="Times New Roman"/>
      <w:b/>
      <w:i/>
      <w:sz w:val="24"/>
    </w:rPr>
  </w:style>
  <w:style w:type="character" w:customStyle="1" w:styleId="CommentVarTok">
    <w:name w:val="CommentVarTok"/>
    <w:basedOn w:val="VerbatimChar"/>
    <w:rPr>
      <w:color w:val="60a0b0"/>
      <w:rFonts w:ascii="Times New Roman" w:hAnsi="Times New Roman"/>
      <w:b/>
      <w:i/>
      <w:sz w:val="24"/>
    </w:rPr>
  </w:style>
  <w:style w:type="character" w:customStyle="1" w:styleId="OtherTok">
    <w:name w:val="OtherTok"/>
    <w:basedOn w:val="VerbatimChar"/>
    <w:rPr>
      <w:rFonts w:ascii="Times New Roman" w:hAnsi="Times New Roman"/>
      <w:color w:val="007020"/>
      <w:sz w:val="24"/>
    </w:rPr>
  </w:style>
  <w:style w:type="character" w:customStyle="1" w:styleId="FunctionTok">
    <w:name w:val="FunctionTok"/>
    <w:basedOn w:val="VerbatimChar"/>
    <w:rPr>
      <w:rFonts w:ascii="Times New Roman" w:hAnsi="Times New Roman"/>
      <w:color w:val="06287e"/>
      <w:sz w:val="24"/>
    </w:rPr>
  </w:style>
  <w:style w:type="character" w:customStyle="1" w:styleId="VariableTok">
    <w:name w:val="VariableTok"/>
    <w:basedOn w:val="VerbatimChar"/>
    <w:rPr>
      <w:rFonts w:ascii="Times New Roman" w:hAnsi="Times New Roman"/>
      <w:color w:val="19177c"/>
      <w:sz w:val="24"/>
    </w:rPr>
  </w:style>
  <w:style w:type="character" w:customStyle="1" w:styleId="ControlFlowTok">
    <w:name w:val="ControlFlowTok"/>
    <w:basedOn w:val="VerbatimChar"/>
    <w:rPr>
      <w:color w:val="007020"/>
      <w:rFonts w:ascii="Times New Roman" w:hAnsi="Times New Roman"/>
      <w:b/>
      <w:sz w:val="24"/>
    </w:rPr>
  </w:style>
  <w:style w:type="character" w:customStyle="1" w:styleId="OperatorTok">
    <w:name w:val="OperatorTok"/>
    <w:basedOn w:val="VerbatimChar"/>
    <w:rPr>
      <w:rFonts w:ascii="Times New Roman" w:hAnsi="Times New Roman"/>
      <w:color w:val="666666"/>
      <w:sz w:val="24"/>
    </w:rPr>
  </w:style>
  <w:style w:type="character" w:customStyle="1" w:styleId="BuiltInTok">
    <w:name w:val="BuiltInTok"/>
    <w:basedOn w:val="VerbatimChar"/>
    <w:rPr>
      <w:rFonts w:ascii="Times New Roman" w:hAnsi="Times New Roman"/>
      <w:color w:val="008000"/>
      <w:sz w:val="24"/>
    </w:rPr>
  </w:style>
  <w:style w:type="character" w:customStyle="1" w:styleId="ExtensionTok">
    <w:name w:val="ExtensionTok"/>
    <w:basedOn w:val="VerbatimChar"/>
    <w:rPr>
      <w:rFonts w:ascii="Times New Roman" w:hAnsi="Times New Roman"/>
      <w:sz w:val="24"/>
    </w:rPr>
  </w:style>
  <w:style w:type="character" w:customStyle="1" w:styleId="PreprocessorTok">
    <w:name w:val="PreprocessorTok"/>
    <w:basedOn w:val="VerbatimChar"/>
    <w:rPr>
      <w:rFonts w:ascii="Times New Roman" w:hAnsi="Times New Roman"/>
      <w:color w:val="bc7a00"/>
      <w:sz w:val="24"/>
    </w:rPr>
  </w:style>
  <w:style w:type="character" w:customStyle="1" w:styleId="AttributeTok">
    <w:name w:val="AttributeTok"/>
    <w:basedOn w:val="VerbatimChar"/>
    <w:rPr>
      <w:rFonts w:ascii="Times New Roman" w:hAnsi="Times New Roman"/>
      <w:color w:val="7d9029"/>
      <w:sz w:val="24"/>
    </w:rPr>
  </w:style>
  <w:style w:type="character" w:customStyle="1" w:styleId="RegionMarkerTok">
    <w:name w:val="RegionMarkerTok"/>
    <w:basedOn w:val="VerbatimChar"/>
    <w:rPr>
      <w:rFonts w:ascii="Times New Roman" w:hAnsi="Times New Roman"/>
      <w:sz w:val="24"/>
    </w:rPr>
  </w:style>
  <w:style w:type="character" w:customStyle="1" w:styleId="InformationTok">
    <w:name w:val="InformationTok"/>
    <w:basedOn w:val="VerbatimChar"/>
    <w:rPr>
      <w:color w:val="60a0b0"/>
      <w:rFonts w:ascii="Times New Roman" w:hAnsi="Times New Roman"/>
      <w:b/>
      <w:i/>
      <w:sz w:val="24"/>
    </w:rPr>
  </w:style>
  <w:style w:type="character" w:customStyle="1" w:styleId="WarningTok">
    <w:name w:val="WarningTok"/>
    <w:basedOn w:val="VerbatimChar"/>
    <w:rPr>
      <w:color w:val="60a0b0"/>
      <w:rFonts w:ascii="Times New Roman" w:hAnsi="Times New Roman"/>
      <w:b/>
      <w:i/>
      <w:sz w:val="24"/>
    </w:rPr>
  </w:style>
  <w:style w:type="character" w:customStyle="1" w:styleId="AlertTok">
    <w:name w:val="AlertTok"/>
    <w:basedOn w:val="VerbatimChar"/>
    <w:rPr>
      <w:color w:val="ff0000"/>
      <w:rFonts w:ascii="Times New Roman" w:hAnsi="Times New Roman"/>
      <w:b/>
      <w:sz w:val="24"/>
    </w:rPr>
  </w:style>
  <w:style w:type="character" w:customStyle="1" w:styleId="ErrorTok">
    <w:name w:val="ErrorTok"/>
    <w:basedOn w:val="VerbatimChar"/>
    <w:rPr>
      <w:color w:val="ff0000"/>
      <w:rFonts w:ascii="Times New Roman" w:hAnsi="Times New Roman"/>
      <w:b/>
      <w:sz w:val="24"/>
    </w:rPr>
  </w:style>
  <w:style w:type="character" w:customStyle="1" w:styleId="NormalTok">
    <w:name w:val="NormalTok"/>
    <w:basedOn w:val="VerbatimChar"/>
    <w:rPr>
      <w:rFonts w:ascii="Times New Roman" w:hAnsi="Times New Roman"/>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7" Type="http://schemas.openxmlformats.org/officeDocument/2006/relationships/hyperlink" Target="https://archive.org/embed/bigsixhistorical0000seix" TargetMode="External"/><Relationship Id="rId112" Type="http://schemas.openxmlformats.org/officeDocument/2006/relationships/hyperlink" Target="https://dejepisplus.npi.cz/wp-content/uploads/2024/01/zaverecna-zprava-d-web.pdf" TargetMode="External"/><Relationship Id="rId125" Type="http://schemas.openxmlformats.org/officeDocument/2006/relationships/hyperlink" Target="https://doi.org/10.1002/9781119100812.ch6" TargetMode="External"/><Relationship Id="rId114" Type="http://schemas.openxmlformats.org/officeDocument/2006/relationships/hyperlink" Target="https://doi.org/10.1007/978-3-031-58056-7_17" TargetMode="External"/><Relationship Id="rId97" Type="http://schemas.openxmlformats.org/officeDocument/2006/relationships/hyperlink" Target="https://doi.org/10.1007/s10212-014-0219-4" TargetMode="External"/><Relationship Id="rId81" Type="http://schemas.openxmlformats.org/officeDocument/2006/relationships/hyperlink" Target="https://doi.org/10.1007/s10648-007-9056-1" TargetMode="External"/><Relationship Id="rId83" Type="http://schemas.openxmlformats.org/officeDocument/2006/relationships/hyperlink" Target="https://doi.org/10.1016/S0065-2601(01)80004-6" TargetMode="External"/><Relationship Id="rId93" Type="http://schemas.openxmlformats.org/officeDocument/2006/relationships/hyperlink" Target="https://doi.org/10.1016/j.lindif.2007.10.002" TargetMode="External"/><Relationship Id="rId105" Type="http://schemas.openxmlformats.org/officeDocument/2006/relationships/hyperlink" Target="https://doi.org/10.1017/bpp.2016.2" TargetMode="External"/><Relationship Id="rId108" Type="http://schemas.openxmlformats.org/officeDocument/2006/relationships/hyperlink" Target="https://doi.org/10.1027/1614-2241.1.3.86" TargetMode="External"/><Relationship Id="rId110" Type="http://schemas.openxmlformats.org/officeDocument/2006/relationships/hyperlink" Target="https://doi.org/10.1037/0003-066x.50.9.741" TargetMode="External"/><Relationship Id="rId103" Type="http://schemas.openxmlformats.org/officeDocument/2006/relationships/hyperlink" Target="https://doi.org/10.1037/0033-2909.129.3.339" TargetMode="External"/><Relationship Id="rId89" Type="http://schemas.openxmlformats.org/officeDocument/2006/relationships/hyperlink" Target="https://doi.org/10.1037/1082-989X.9.4.466" TargetMode="External"/><Relationship Id="rId70" Type="http://schemas.openxmlformats.org/officeDocument/2006/relationships/hyperlink" Target="https://doi.org/10.1080/00933104.2014.965860" TargetMode="External"/><Relationship Id="rId99" Type="http://schemas.openxmlformats.org/officeDocument/2006/relationships/hyperlink" Target="https://doi.org/10.1080/00933104.2016.1208597" TargetMode="External"/><Relationship Id="rId121" Type="http://schemas.openxmlformats.org/officeDocument/2006/relationships/hyperlink" Target="https://doi.org/10.1080/07370008.2018.1499646" TargetMode="External"/><Relationship Id="rId74" Type="http://schemas.openxmlformats.org/officeDocument/2006/relationships/hyperlink" Target="https://doi.org/10.1080/10705510701301834" TargetMode="External"/><Relationship Id="rId95" Type="http://schemas.openxmlformats.org/officeDocument/2006/relationships/hyperlink" Target="https://doi.org/10.1177/001316448904900315" TargetMode="External"/><Relationship Id="rId123" Type="http://schemas.openxmlformats.org/officeDocument/2006/relationships/hyperlink" Target="https://doi.org/10.1177/002200277702100108" TargetMode="External"/><Relationship Id="rId87" Type="http://schemas.openxmlformats.org/officeDocument/2006/relationships/hyperlink" Target="https://doi.org/10.1177/0146621605275728" TargetMode="External"/><Relationship Id="rId85" Type="http://schemas.openxmlformats.org/officeDocument/2006/relationships/hyperlink" Target="https://doi.org/10.1177/1745691612460685" TargetMode="External"/><Relationship Id="rId76" Type="http://schemas.openxmlformats.org/officeDocument/2006/relationships/hyperlink" Target="https://doi.org/10.1207/S15328007SEM0902_5" TargetMode="External"/><Relationship Id="rId72" Type="http://schemas.openxmlformats.org/officeDocument/2006/relationships/hyperlink" Target="https://doi.org/10.14324/111.9781787357303" TargetMode="External"/><Relationship Id="rId62" Type="http://schemas.openxmlformats.org/officeDocument/2006/relationships/hyperlink" Target="https://doi.org/10.18546/HERJ.16.2.10" TargetMode="External"/><Relationship Id="rId79" Type="http://schemas.openxmlformats.org/officeDocument/2006/relationships/hyperlink" Target="https://doi.org/10.30820/9783837966367" TargetMode="External"/><Relationship Id="rId119" Type="http://schemas.openxmlformats.org/officeDocument/2006/relationships/hyperlink" Target="https://doi.org/10.3102/0002831217717949" TargetMode="External"/><Relationship Id="rId67" Type="http://schemas.openxmlformats.org/officeDocument/2006/relationships/hyperlink" Target="https://doi.org/10.3389/feduc.2025.1616879" TargetMode="External"/><Relationship Id="rId91" Type="http://schemas.openxmlformats.org/officeDocument/2006/relationships/hyperlink" Target="https://doi.org/10.4324/9781410611758" TargetMode="External"/><Relationship Id="rId101" Type="http://schemas.openxmlformats.org/officeDocument/2006/relationships/hyperlink" Target="https://www.intestcom.org/files/guideline_test_adaptation_2ed.pdf" TargetMode="External"/><Relationship Id="rId64" Type="http://schemas.openxmlformats.org/officeDocument/2006/relationships/hyperlink" Target="https://www.testingstandards.net/open-access-files.html" TargetMode="External"/></Relationships>
</file>

<file path=word/_rels/footnotes.xml.rels><?xml version='1.0' encoding='UTF-8' standalone='yes'?>
<Relationships xmlns="http://schemas.openxmlformats.org/package/2006/relationships"><Relationship Id="rId117" Type="http://schemas.openxmlformats.org/officeDocument/2006/relationships/hyperlink" Target="https://archive.org/embed/bigsixhistorical0000seix" TargetMode="External"/><Relationship Id="rId112" Type="http://schemas.openxmlformats.org/officeDocument/2006/relationships/hyperlink" Target="https://dejepisplus.npi.cz/wp-content/uploads/2024/01/zaverecna-zprava-d-web.pdf" TargetMode="External"/><Relationship Id="rId125" Type="http://schemas.openxmlformats.org/officeDocument/2006/relationships/hyperlink" Target="https://doi.org/10.1002/9781119100812.ch6" TargetMode="External"/><Relationship Id="rId114" Type="http://schemas.openxmlformats.org/officeDocument/2006/relationships/hyperlink" Target="https://doi.org/10.1007/978-3-031-58056-7_17" TargetMode="External"/><Relationship Id="rId97" Type="http://schemas.openxmlformats.org/officeDocument/2006/relationships/hyperlink" Target="https://doi.org/10.1007/s10212-014-0219-4" TargetMode="External"/><Relationship Id="rId81" Type="http://schemas.openxmlformats.org/officeDocument/2006/relationships/hyperlink" Target="https://doi.org/10.1007/s10648-007-9056-1" TargetMode="External"/><Relationship Id="rId83" Type="http://schemas.openxmlformats.org/officeDocument/2006/relationships/hyperlink" Target="https://doi.org/10.1016/S0065-2601(01)80004-6" TargetMode="External"/><Relationship Id="rId93" Type="http://schemas.openxmlformats.org/officeDocument/2006/relationships/hyperlink" Target="https://doi.org/10.1016/j.lindif.2007.10.002" TargetMode="External"/><Relationship Id="rId105" Type="http://schemas.openxmlformats.org/officeDocument/2006/relationships/hyperlink" Target="https://doi.org/10.1017/bpp.2016.2" TargetMode="External"/><Relationship Id="rId108" Type="http://schemas.openxmlformats.org/officeDocument/2006/relationships/hyperlink" Target="https://doi.org/10.1027/1614-2241.1.3.86" TargetMode="External"/><Relationship Id="rId110" Type="http://schemas.openxmlformats.org/officeDocument/2006/relationships/hyperlink" Target="https://doi.org/10.1037/0003-066x.50.9.741" TargetMode="External"/><Relationship Id="rId103" Type="http://schemas.openxmlformats.org/officeDocument/2006/relationships/hyperlink" Target="https://doi.org/10.1037/0033-2909.129.3.339" TargetMode="External"/><Relationship Id="rId89" Type="http://schemas.openxmlformats.org/officeDocument/2006/relationships/hyperlink" Target="https://doi.org/10.1037/1082-989X.9.4.466" TargetMode="External"/><Relationship Id="rId70" Type="http://schemas.openxmlformats.org/officeDocument/2006/relationships/hyperlink" Target="https://doi.org/10.1080/00933104.2014.965860" TargetMode="External"/><Relationship Id="rId99" Type="http://schemas.openxmlformats.org/officeDocument/2006/relationships/hyperlink" Target="https://doi.org/10.1080/00933104.2016.1208597" TargetMode="External"/><Relationship Id="rId121" Type="http://schemas.openxmlformats.org/officeDocument/2006/relationships/hyperlink" Target="https://doi.org/10.1080/07370008.2018.1499646" TargetMode="External"/><Relationship Id="rId74" Type="http://schemas.openxmlformats.org/officeDocument/2006/relationships/hyperlink" Target="https://doi.org/10.1080/10705510701301834" TargetMode="External"/><Relationship Id="rId95" Type="http://schemas.openxmlformats.org/officeDocument/2006/relationships/hyperlink" Target="https://doi.org/10.1177/001316448904900315" TargetMode="External"/><Relationship Id="rId123" Type="http://schemas.openxmlformats.org/officeDocument/2006/relationships/hyperlink" Target="https://doi.org/10.1177/002200277702100108" TargetMode="External"/><Relationship Id="rId87" Type="http://schemas.openxmlformats.org/officeDocument/2006/relationships/hyperlink" Target="https://doi.org/10.1177/0146621605275728" TargetMode="External"/><Relationship Id="rId85" Type="http://schemas.openxmlformats.org/officeDocument/2006/relationships/hyperlink" Target="https://doi.org/10.1177/1745691612460685" TargetMode="External"/><Relationship Id="rId76" Type="http://schemas.openxmlformats.org/officeDocument/2006/relationships/hyperlink" Target="https://doi.org/10.1207/S15328007SEM0902_5" TargetMode="External"/><Relationship Id="rId72" Type="http://schemas.openxmlformats.org/officeDocument/2006/relationships/hyperlink" Target="https://doi.org/10.14324/111.9781787357303" TargetMode="External"/><Relationship Id="rId62" Type="http://schemas.openxmlformats.org/officeDocument/2006/relationships/hyperlink" Target="https://doi.org/10.18546/HERJ.16.2.10" TargetMode="External"/><Relationship Id="rId79" Type="http://schemas.openxmlformats.org/officeDocument/2006/relationships/hyperlink" Target="https://doi.org/10.30820/9783837966367" TargetMode="External"/><Relationship Id="rId119" Type="http://schemas.openxmlformats.org/officeDocument/2006/relationships/hyperlink" Target="https://doi.org/10.3102/0002831217717949" TargetMode="External"/><Relationship Id="rId67" Type="http://schemas.openxmlformats.org/officeDocument/2006/relationships/hyperlink" Target="https://doi.org/10.3389/feduc.2025.1616879" TargetMode="External"/><Relationship Id="rId91" Type="http://schemas.openxmlformats.org/officeDocument/2006/relationships/hyperlink" Target="https://doi.org/10.4324/9781410611758" TargetMode="External"/><Relationship Id="rId101" Type="http://schemas.openxmlformats.org/officeDocument/2006/relationships/hyperlink" Target="https://www.intestcom.org/files/guideline_test_adaptation_2ed.pdf" TargetMode="External"/><Relationship Id="rId64" Type="http://schemas.openxmlformats.org/officeDocument/2006/relationships/hyperlink" Target="https://www.testingstandards.net/open-access-fi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Cross-Cultural Validation and Ideological Fairness of a Historical Perspective Taking Instrument: Evidence from Czech Secondary Students</dc:title>
  <dc:creator/>
  <cp:keywords/>
  <dcterms:created xsi:type="dcterms:W3CDTF">2026-04-03T11:25:53Z</dcterms:created>
  <dcterms:modified xsi:type="dcterms:W3CDTF">2026-04-03T11:25:53Z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/home/yetty/PhD/projects/phd-029-hpt-and-extremism/submissions/ijt/references.bib</vt:lpwstr>
  </property>
  <property fmtid="{D5CDD505-2E9C-101B-9397-08002B2CF9AE}" pid="3" name="csl">
    <vt:lpwstr>/home/yetty/PhD/projects/phd-thesis/csl/apa.csl</vt:lpwstr>
  </property>
  <property fmtid="{D5CDD505-2E9C-101B-9397-08002B2CF9AE}" pid="4" name="date">
    <vt:lpwstr>2026</vt:lpwstr>
  </property>
</Properties>
</file>