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I am pleased to submit the manuscript titled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Cross-Cultural</w:t>
      </w:r>
      <w:r>
        <w:rPr>
          <w:bCs/>
          <w:b/>
        </w:rPr>
        <w:t xml:space="preserve"> </w:t>
      </w:r>
      <w:r>
        <w:rPr>
          <w:bCs/>
          <w:b/>
        </w:rPr>
        <w:t xml:space="preserve">Validation and Ideological Fairness of a Historical Perspective</w:t>
      </w:r>
      <w:r>
        <w:rPr>
          <w:bCs/>
          <w:b/>
        </w:rPr>
        <w:t xml:space="preserve"> </w:t>
      </w:r>
      <w:r>
        <w:rPr>
          <w:bCs/>
          <w:b/>
        </w:rPr>
        <w:t xml:space="preserve">Taking Instrument: Evidence from Czech Secondary Students</w:t>
      </w:r>
      <w:r>
        <w:rPr>
          <w:bCs/>
          <w:b/>
        </w:rP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consideration in the</w:t>
      </w:r>
      <w:r>
        <w:t xml:space="preserve"> </w:t>
      </w:r>
      <w:r>
        <w:rPr>
          <w:iCs/>
          <w:i/>
        </w:rPr>
        <w:t xml:space="preserve">International Journal of Testing</w:t>
      </w:r>
      <w:r>
        <w:t xml:space="preserve">. As</w:t>
      </w:r>
      <w:r>
        <w:t xml:space="preserve"> </w:t>
      </w:r>
      <w:r>
        <w:t xml:space="preserve">suggested by the editorial office of</w:t>
      </w:r>
      <w:r>
        <w:t xml:space="preserve"> </w:t>
      </w:r>
      <w:r>
        <w:rPr>
          <w:iCs/>
          <w:i/>
        </w:rPr>
        <w:t xml:space="preserve">Applied Measurement in</w:t>
      </w:r>
      <w:r>
        <w:rPr>
          <w:iCs/>
          <w:i/>
        </w:rPr>
        <w:t xml:space="preserve"> </w:t>
      </w:r>
      <w:r>
        <w:rPr>
          <w:iCs/>
          <w:i/>
        </w:rPr>
        <w:t xml:space="preserve">Education</w:t>
      </w:r>
      <w:r>
        <w:t xml:space="preserve">, we believe this manuscript aligns closely with IJT’s</w:t>
      </w:r>
      <w:r>
        <w:t xml:space="preserve"> </w:t>
      </w:r>
      <w:r>
        <w:t xml:space="preserve">core interest in cross-cultural test adaptation and measurement</w:t>
      </w:r>
      <w:r>
        <w:t xml:space="preserve"> </w:t>
      </w:r>
      <w:r>
        <w:t xml:space="preserve">fairness.</w:t>
      </w:r>
    </w:p>
    <w:p>
      <w:pPr>
        <w:pStyle w:val="BodyText"/>
      </w:pPr>
      <w:r>
        <w:rPr>
          <w:bCs/>
          <w:b/>
        </w:rPr>
        <w:t xml:space="preserve">Summary.</w:t>
      </w:r>
      <w:r>
        <w:t xml:space="preserve"> </w:t>
      </w:r>
      <w:r>
        <w:t xml:space="preserve">This study reports the first Czech adaptation of the</w:t>
      </w:r>
      <w:r>
        <w:t xml:space="preserve"> </w:t>
      </w:r>
      <w:r>
        <w:t xml:space="preserve">Hartmann and Hasselhorn Historical Perspective Taking (HPT)</w:t>
      </w:r>
      <w:r>
        <w:t xml:space="preserve"> </w:t>
      </w:r>
      <w:r>
        <w:t xml:space="preserve">instrument and the first investigation of whether politically</w:t>
      </w:r>
      <w:r>
        <w:t xml:space="preserve"> </w:t>
      </w:r>
      <w:r>
        <w:t xml:space="preserve">charged assessment content introduces construct-irrelevant variance</w:t>
      </w:r>
      <w:r>
        <w:t xml:space="preserve"> </w:t>
      </w:r>
      <w:r>
        <w:t xml:space="preserve">related to students’ ideological attitudes. Using data from 293</w:t>
      </w:r>
      <w:r>
        <w:t xml:space="preserve"> </w:t>
      </w:r>
      <w:r>
        <w:t xml:space="preserve">secondary students across 10 schools, we integrate CFA, IRT-based</w:t>
      </w:r>
      <w:r>
        <w:t xml:space="preserve"> </w:t>
      </w:r>
      <w:r>
        <w:t xml:space="preserve">differential item functioning analysis, and multi-group CFA for</w:t>
      </w:r>
      <w:r>
        <w:t xml:space="preserve"> </w:t>
      </w:r>
      <w:r>
        <w:t xml:space="preserve">measurement invariance testing. The results demonstrate full scalar</w:t>
      </w:r>
      <w:r>
        <w:t xml:space="preserve"> </w:t>
      </w:r>
      <w:r>
        <w:t xml:space="preserve">invariance across ideology groups, no differential item</w:t>
      </w:r>
      <w:r>
        <w:t xml:space="preserve"> </w:t>
      </w:r>
      <w:r>
        <w:t xml:space="preserve">functioning, and a convergent/discriminant validity pattern</w:t>
      </w:r>
      <w:r>
        <w:t xml:space="preserve"> </w:t>
      </w:r>
      <w:r>
        <w:t xml:space="preserve">consistent with the intended score interpretation.</w:t>
      </w:r>
    </w:p>
    <w:p>
      <w:pPr>
        <w:pStyle w:val="BodyText"/>
      </w:pPr>
      <w:r>
        <w:rPr>
          <w:bCs/>
          <w:b/>
        </w:rPr>
        <w:t xml:space="preserve">Fit with IJT.</w:t>
      </w:r>
      <w:r>
        <w:t xml:space="preserve"> </w:t>
      </w:r>
      <w:r>
        <w:t xml:space="preserve">The manuscript addresses topics central to IJT’s</w:t>
      </w:r>
      <w:r>
        <w:t xml:space="preserve"> </w:t>
      </w:r>
      <w:r>
        <w:t xml:space="preserve">scope: cross-cultural instrument adaptation following ITC</w:t>
      </w:r>
      <w:r>
        <w:t xml:space="preserve"> </w:t>
      </w:r>
      <w:r>
        <w:t xml:space="preserve">guidelines, DIF methodology applied to a novel grouping</w:t>
      </w:r>
      <w:r>
        <w:t xml:space="preserve"> </w:t>
      </w:r>
      <w:r>
        <w:t xml:space="preserve">variable (political ideology), and measurement invariance testing</w:t>
      </w:r>
      <w:r>
        <w:t xml:space="preserve"> </w:t>
      </w:r>
      <w:r>
        <w:t xml:space="preserve">with ordinal data. The primary contribution is a transferable</w:t>
      </w:r>
      <w:r>
        <w:t xml:space="preserve"> </w:t>
      </w:r>
      <w:r>
        <w:t xml:space="preserve">protocol for evaluating whether attitudinally charged assessment</w:t>
      </w:r>
      <w:r>
        <w:t xml:space="preserve"> </w:t>
      </w:r>
      <w:r>
        <w:t xml:space="preserve">content introduces construct-irrelevant variance—a question that</w:t>
      </w:r>
      <w:r>
        <w:t xml:space="preserve"> </w:t>
      </w:r>
      <w:r>
        <w:t xml:space="preserve">extends beyond history education to any domain where sensitive</w:t>
      </w:r>
      <w:r>
        <w:t xml:space="preserve"> </w:t>
      </w:r>
      <w:r>
        <w:t xml:space="preserve">content raises construct contamination concerns.</w:t>
      </w:r>
    </w:p>
    <w:p>
      <w:pPr>
        <w:pStyle w:val="BodyText"/>
      </w:pPr>
      <w:r>
        <w:rPr>
          <w:bCs/>
          <w:b/>
        </w:rPr>
        <w:t xml:space="preserve">Novelty.</w:t>
      </w:r>
      <w:r>
        <w:t xml:space="preserve"> </w:t>
      </w:r>
      <w:r>
        <w:t xml:space="preserve">To our knowledge, no prior study has examined whether</w:t>
      </w:r>
      <w:r>
        <w:t xml:space="preserve"> </w:t>
      </w:r>
      <w:r>
        <w:t xml:space="preserve">ideological attitudes introduce measurement bias in any historical</w:t>
      </w:r>
      <w:r>
        <w:t xml:space="preserve"> </w:t>
      </w:r>
      <w:r>
        <w:t xml:space="preserve">thinking instrument. The finding that a scenario involving political</w:t>
      </w:r>
      <w:r>
        <w:t xml:space="preserve"> </w:t>
      </w:r>
      <w:r>
        <w:t xml:space="preserve">extremism functions with full measurement equivalence across</w:t>
      </w:r>
      <w:r>
        <w:t xml:space="preserve"> </w:t>
      </w:r>
      <w:r>
        <w:t xml:space="preserve">ideology groups has practical implications for assessment design in</w:t>
      </w:r>
      <w:r>
        <w:t xml:space="preserve"> </w:t>
      </w:r>
      <w:r>
        <w:t xml:space="preserve">politically sensitive domains.</w:t>
      </w:r>
    </w:p>
    <w:p>
      <w:pPr>
        <w:pStyle w:val="BodyText"/>
      </w:pPr>
      <w:r>
        <w:rPr>
          <w:bCs/>
          <w:b/>
        </w:rPr>
        <w:t xml:space="preserve">Preregistration.</w:t>
      </w:r>
      <w:r>
        <w:t xml:space="preserve"> </w:t>
      </w:r>
      <w:r>
        <w:t xml:space="preserve">The study design, hypotheses, and analysis plan</w:t>
      </w:r>
      <w:r>
        <w:t xml:space="preserve"> </w:t>
      </w:r>
      <w:r>
        <w:t xml:space="preserve">were preregistered on the Open Science Framework prior to data</w:t>
      </w:r>
      <w:r>
        <w:t xml:space="preserve"> </w:t>
      </w:r>
      <w:r>
        <w:t xml:space="preserve">collection (https://osf.io/yng37/). De-identified data and analysis</w:t>
      </w:r>
      <w:r>
        <w:t xml:space="preserve"> </w:t>
      </w:r>
      <w:r>
        <w:t xml:space="preserve">scripts are publicly available.</w:t>
      </w:r>
    </w:p>
    <w:p>
      <w:pPr>
        <w:pStyle w:val="BodyText"/>
      </w:pPr>
      <w:r>
        <w:rPr>
          <w:bCs/>
          <w:b/>
        </w:rPr>
        <w:t xml:space="preserve">Open Access.</w:t>
      </w:r>
      <w:r>
        <w:t xml:space="preserve"> </w:t>
      </w:r>
      <w:r>
        <w:t xml:space="preserve">Charles University holds a CzechELib Read &amp; Publish</w:t>
      </w:r>
      <w:r>
        <w:t xml:space="preserve"> </w:t>
      </w:r>
      <w:r>
        <w:t xml:space="preserve">agreement with Taylor &amp; Francis, which covers the article processing</w:t>
      </w:r>
      <w:r>
        <w:t xml:space="preserve"> </w:t>
      </w:r>
      <w:r>
        <w:t xml:space="preserve">charge for open access publication.</w:t>
      </w:r>
    </w:p>
    <w:p>
      <w:pPr>
        <w:pStyle w:val="BodyText"/>
      </w:pPr>
      <w:r>
        <w:rPr>
          <w:bCs/>
          <w:b/>
        </w:rPr>
        <w:t xml:space="preserve">Confirmations.</w:t>
      </w:r>
      <w:r>
        <w:t xml:space="preserve"> </w:t>
      </w:r>
      <w:r>
        <w:t xml:space="preserve">The manuscript is not under consideration</w:t>
      </w:r>
      <w:r>
        <w:t xml:space="preserve"> </w:t>
      </w:r>
      <w:r>
        <w:t xml:space="preserve">elsewhere. The author has no competing interests to declare. Ethical</w:t>
      </w:r>
      <w:r>
        <w:t xml:space="preserve"> </w:t>
      </w:r>
      <w:r>
        <w:t xml:space="preserve">standards for non-interventional educational research were followed;</w:t>
      </w:r>
      <w:r>
        <w:t xml:space="preserve"> </w:t>
      </w:r>
      <w:r>
        <w:t xml:space="preserve">participation was voluntary and all data were de-identified.</w:t>
      </w:r>
    </w:p>
    <w:p>
      <w:pPr>
        <w:pStyle w:val="BodyText"/>
      </w:pPr>
      <w:r>
        <w:rPr>
          <w:bCs/>
          <w:b/>
        </w:rPr>
        <w:t xml:space="preserve">Suggested reviewers.</w:t>
      </w:r>
      <w:r>
        <w:t xml:space="preserve"> </w:t>
      </w:r>
      <w:r>
        <w:t xml:space="preserve">I respectfully suggest the following</w:t>
      </w:r>
      <w:r>
        <w:t xml:space="preserve"> </w:t>
      </w:r>
      <w:r>
        <w:t xml:space="preserve">reviewers who have relevant expertise in educational measurement</w:t>
      </w:r>
      <w:r>
        <w:t xml:space="preserve"> </w:t>
      </w:r>
      <w:r>
        <w:t xml:space="preserve">and/or historical thinking assessment: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Tim Huijgen</w:t>
      </w:r>
      <w:r>
        <w:t xml:space="preserve">, University of Groningen, the Netherlands —</w:t>
      </w:r>
      <w:r>
        <w:t xml:space="preserve"> </w:t>
      </w:r>
      <w:r>
        <w:t xml:space="preserve">expertise in historical perspective taking measurement; adapted</w:t>
      </w:r>
      <w:r>
        <w:t xml:space="preserve"> </w:t>
      </w:r>
      <w:r>
        <w:t xml:space="preserve">the same HPT instrument for Dutch secondary students.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 D. Smith</w:t>
      </w:r>
      <w:r>
        <w:t xml:space="preserve">, Stanford History Education Group / Northern</w:t>
      </w:r>
      <w:r>
        <w:t xml:space="preserve"> </w:t>
      </w:r>
      <w:r>
        <w:t xml:space="preserve">Illinois University, USA — expertise in cognitive validity and</w:t>
      </w:r>
      <w:r>
        <w:t xml:space="preserve"> </w:t>
      </w:r>
      <w:r>
        <w:t xml:space="preserve">psychometric evaluation of history assessments.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Ulrich Hartmann</w:t>
      </w:r>
      <w:r>
        <w:t xml:space="preserve">, DIPF | Leibniz Institute for Research and</w:t>
      </w:r>
      <w:r>
        <w:t xml:space="preserve"> </w:t>
      </w:r>
      <w:r>
        <w:t xml:space="preserve">Information in Education, Germany — co-developer of the original</w:t>
      </w:r>
      <w:r>
        <w:t xml:space="preserve"> </w:t>
      </w:r>
      <w:r>
        <w:t xml:space="preserve">HPT instrument; expertise in educational measurement.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W. Holmes Finch</w:t>
      </w:r>
      <w:r>
        <w:t xml:space="preserve">, Ball State University, USA — expertise in</w:t>
      </w:r>
      <w:r>
        <w:t xml:space="preserve"> </w:t>
      </w:r>
      <w:r>
        <w:t xml:space="preserve">DIF methodology, measurement invariance, and IRT-based analysis</w:t>
      </w:r>
      <w:r>
        <w:t xml:space="preserve"> </w:t>
      </w:r>
      <w:r>
        <w:t xml:space="preserve">in educational contexts.</w:t>
      </w:r>
    </w:p>
    <w:p>
      <w:pPr>
        <w:pStyle w:val="FirstParagraph"/>
      </w:pPr>
      <w:r>
        <w:t xml:space="preserve">Thank you for considering this manuscript.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Juda Kaleta</w:t>
      </w:r>
      <w:r>
        <w:t xml:space="preserve"> </w:t>
      </w:r>
      <w:r>
        <w:t xml:space="preserve">Institute of History, Faculty of Arts, Charles University,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juda.kaleta@ff.cuni.cz</w:t>
      </w:r>
      <w:r>
        <w:t xml:space="preserve"> </w:t>
      </w:r>
      <w:r>
        <w:t xml:space="preserve">ORCID: 0000-0003-0043-4039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2026-04-03T11:24:30Z</dcterms:created>
  <dcterms:modified xsi:type="dcterms:W3CDTF">2026-04-03T11:24:30Z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