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4"/>
        </w:rPr>
        <w:t>Coding Plan Premium News and Advertising Management System</w:t>
      </w:r>
    </w:p>
    <w:p>
      <w:pPr>
        <w:jc w:val="center"/>
      </w:pPr>
      <w:r>
        <w:rPr>
          <w:rFonts w:ascii="Arial" w:hAnsi="Arial"/>
          <w:b/>
          <w:color w:val="365F91"/>
          <w:sz w:val="22"/>
        </w:rPr>
        <w:t>Group 5  |  React  |  Spring Boot  |  MySQL</w:t>
      </w:r>
    </w:p>
    <w:p>
      <w:pPr>
        <w:spacing w:before="280" w:after="240"/>
      </w:pPr>
      <w:r>
        <w:rPr>
          <w:rFonts w:ascii="Arial" w:hAnsi="Arial"/>
          <w:color w:val="000000"/>
          <w:sz w:val="21"/>
        </w:rPr>
        <w:t>This plan defines the implementation order, ownership, API and database boundaries, quality gates, and dependency path for 39 Use Cases, 53 screens, and eight Main Business Flows. The plan allows four members to work in parallel without separating frontend, backend, database, and testing into disconnected silos.</w:t>
      </w:r>
    </w:p>
    <w:p>
      <w:pPr>
        <w:pStyle w:val="Heading1"/>
      </w:pPr>
      <w:r>
        <w:t>1. Mục tiêu và nguyên tắc</w:t>
      </w:r>
    </w:p>
    <w:p>
      <w:r>
        <w:rPr>
          <w:rFonts w:ascii="Arial" w:hAnsi="Arial"/>
          <w:color w:val="000000"/>
          <w:sz w:val="20"/>
        </w:rPr>
        <w:t>Mục tiêu của plan là để bốn thành viên code song song nhưng vẫn ghép được với nhau. Đơn vị nhỏ nhất là Screen; Screen triển khai một hoặc nhiều Use Case; Use Case thuộc Main Flow hoặc Supporting Flow.</w:t>
      </w:r>
    </w:p>
    <w:p>
      <w:r>
        <w:rPr>
          <w:rFonts w:ascii="Arial" w:hAnsi="Arial"/>
          <w:color w:val="000000"/>
          <w:sz w:val="20"/>
        </w:rPr>
        <w:t>Quy tắc bắt buộc:</w:t>
      </w:r>
    </w:p>
    <w:p>
      <w:pPr>
        <w:pStyle w:val="ListBullet"/>
      </w:pPr>
      <w:r>
        <w:rPr>
          <w:rFonts w:ascii="Arial" w:hAnsi="Arial"/>
          <w:color w:val="000000"/>
          <w:sz w:val="20"/>
        </w:rPr>
        <w:t>Frontend chỉ gọi REST API; không truy cập MySQL.</w:t>
      </w:r>
    </w:p>
    <w:p>
      <w:pPr>
        <w:pStyle w:val="ListBullet"/>
      </w:pPr>
      <w:r>
        <w:rPr>
          <w:rFonts w:ascii="Arial" w:hAnsi="Arial"/>
          <w:color w:val="000000"/>
          <w:sz w:val="20"/>
        </w:rPr>
        <w:t>Controller → Service → Repository; business rule chỉ nằm ở Service.</w:t>
      </w:r>
    </w:p>
    <w:p>
      <w:pPr>
        <w:pStyle w:val="ListBullet"/>
      </w:pPr>
      <w:r>
        <w:rPr>
          <w:rFonts w:ascii="Arial" w:hAnsi="Arial"/>
          <w:color w:val="000000"/>
          <w:sz w:val="20"/>
        </w:rPr>
        <w:t>DTO là hợp đồng API; không trả JPA Entity ra ngoài.</w:t>
      </w:r>
    </w:p>
    <w:p>
      <w:pPr>
        <w:pStyle w:val="ListBullet"/>
      </w:pPr>
      <w:r>
        <w:rPr>
          <w:rFonts w:ascii="Arial" w:hAnsi="Arial"/>
          <w:color w:val="000000"/>
          <w:sz w:val="20"/>
        </w:rPr>
        <w:t>Mọi thay đổi schema là một Flyway migration mới; không sửa migration đã chạy ở môi trường chung.</w:t>
      </w:r>
    </w:p>
    <w:p>
      <w:pPr>
        <w:pStyle w:val="ListBullet"/>
      </w:pPr>
      <w:r>
        <w:rPr>
          <w:rFonts w:ascii="Arial" w:hAnsi="Arial"/>
          <w:color w:val="000000"/>
          <w:sz w:val="20"/>
        </w:rPr>
        <w:t>Payment callback, job và submit action phải idempotent.</w:t>
      </w:r>
    </w:p>
    <w:p>
      <w:pPr>
        <w:pStyle w:val="ListBullet"/>
      </w:pPr>
      <w:r>
        <w:rPr>
          <w:rFonts w:ascii="Arial" w:hAnsi="Arial"/>
          <w:color w:val="000000"/>
          <w:sz w:val="20"/>
        </w:rPr>
        <w:t xml:space="preserve">Mọi dữ liệu của Business phải kiểm tra </w:t>
      </w:r>
      <w:r>
        <w:rPr>
          <w:rFonts w:ascii="Consolas" w:hAnsi="Consolas"/>
          <w:color w:val="17365D"/>
          <w:sz w:val="17"/>
        </w:rPr>
        <w:t>company_id</w:t>
      </w:r>
      <w:r>
        <w:rPr>
          <w:rFonts w:ascii="Arial" w:hAnsi="Arial"/>
          <w:color w:val="000000"/>
          <w:sz w:val="20"/>
        </w:rPr>
        <w:t xml:space="preserve"> ở backend, không chỉ ẩn nút ở frontend.</w:t>
      </w:r>
    </w:p>
    <w:p>
      <w:pPr>
        <w:pStyle w:val="ListBullet"/>
      </w:pPr>
      <w:r>
        <w:rPr>
          <w:rFonts w:ascii="Arial" w:hAnsi="Arial"/>
          <w:color w:val="000000"/>
          <w:sz w:val="20"/>
        </w:rPr>
        <w:t>Thời gian lưu UTC; tiền dùng DECIMAL và currency code.</w:t>
      </w:r>
    </w:p>
    <w:p>
      <w:pPr>
        <w:pStyle w:val="ListBullet"/>
      </w:pPr>
      <w:r>
        <w:rPr>
          <w:rFonts w:ascii="Arial" w:hAnsi="Arial"/>
          <w:color w:val="000000"/>
          <w:sz w:val="20"/>
        </w:rPr>
        <w:t>Mỗi BF hoàn thành khi normal flow, alternative flow, permission, audit và test cùng đạt.</w:t>
      </w:r>
    </w:p>
    <w:p>
      <w:pPr>
        <w:pStyle w:val="Heading1"/>
      </w:pPr>
      <w:r>
        <w:t>2. Kiến trúc và dependency graph</w:t>
      </w:r>
    </w:p>
    <w:p>
      <w:pPr>
        <w:keepNext/>
        <w:spacing w:after="40"/>
        <w:jc w:val="center"/>
      </w:pPr>
      <w:r>
        <w:drawing>
          <wp:inline xmlns:a="http://schemas.openxmlformats.org/drawingml/2006/main" xmlns:pic="http://schemas.openxmlformats.org/drawingml/2006/picture">
            <wp:extent cx="6446520" cy="366279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46520" cy="3662795"/>
                    </a:xfrm>
                    <a:prstGeom prst="rect"/>
                  </pic:spPr>
                </pic:pic>
              </a:graphicData>
            </a:graphic>
          </wp:inline>
        </w:drawing>
      </w:r>
    </w:p>
    <w:p>
      <w:pPr>
        <w:spacing w:after="160"/>
        <w:jc w:val="center"/>
      </w:pPr>
      <w:r>
        <w:rPr>
          <w:rFonts w:ascii="Arial" w:hAnsi="Arial"/>
          <w:b/>
          <w:color w:val="4B5563"/>
          <w:sz w:val="17"/>
        </w:rPr>
        <w:t>Figure 1  Layered system architecture</w:t>
      </w:r>
    </w:p>
    <w:p>
      <w:pPr>
        <w:keepNext/>
        <w:spacing w:after="40"/>
        <w:jc w:val="center"/>
      </w:pPr>
      <w:r>
        <w:drawing>
          <wp:inline xmlns:a="http://schemas.openxmlformats.org/drawingml/2006/main" xmlns:pic="http://schemas.openxmlformats.org/drawingml/2006/picture">
            <wp:extent cx="6446520" cy="3809307"/>
            <wp:docPr id="2" name="Picture 2"/>
            <wp:cNvGraphicFramePr>
              <a:graphicFrameLocks noChangeAspect="1"/>
            </wp:cNvGraphicFramePr>
            <a:graphic>
              <a:graphicData uri="http://schemas.openxmlformats.org/drawingml/2006/picture">
                <pic:pic>
                  <pic:nvPicPr>
                    <pic:cNvPr id="0" name="BF-Dependencies.png"/>
                    <pic:cNvPicPr/>
                  </pic:nvPicPr>
                  <pic:blipFill>
                    <a:blip r:embed="rId10"/>
                    <a:stretch>
                      <a:fillRect/>
                    </a:stretch>
                  </pic:blipFill>
                  <pic:spPr>
                    <a:xfrm>
                      <a:off x="0" y="0"/>
                      <a:ext cx="6446520" cy="3809307"/>
                    </a:xfrm>
                    <a:prstGeom prst="rect"/>
                  </pic:spPr>
                </pic:pic>
              </a:graphicData>
            </a:graphic>
          </wp:inline>
        </w:drawing>
      </w:r>
    </w:p>
    <w:p>
      <w:pPr>
        <w:spacing w:after="160"/>
        <w:jc w:val="center"/>
      </w:pPr>
      <w:r>
        <w:rPr>
          <w:rFonts w:ascii="Arial" w:hAnsi="Arial"/>
          <w:b/>
          <w:color w:val="4B5563"/>
          <w:sz w:val="17"/>
        </w:rPr>
        <w:t>Figure 2  Business Flow dependency and implementation order</w:t>
      </w:r>
    </w:p>
    <w:p>
      <w:r>
        <w:rPr>
          <w:rFonts w:ascii="Consolas" w:hAnsi="Consolas"/>
          <w:color w:val="17365D"/>
          <w:sz w:val="17"/>
        </w:rPr>
        <w:t>Foundation</w:t>
      </w:r>
      <w:r>
        <w:rPr>
          <w:rFonts w:ascii="Arial" w:hAnsi="Arial"/>
          <w:color w:val="000000"/>
          <w:sz w:val="20"/>
        </w:rPr>
        <w:t xml:space="preserve"> gồm migration, seed role, session auth, CSRF, error response, pagination, audit helper, adapter interfaces và frontend role guard.</w:t>
      </w:r>
    </w:p>
    <w:p>
      <w:pPr>
        <w:pStyle w:val="Heading1"/>
      </w:pPr>
      <w:r>
        <w:t>3. Phân công và kế hoạch 3 iteration</w:t>
      </w:r>
    </w:p>
    <w:p>
      <w:r>
        <w:rPr>
          <w:rFonts w:ascii="Arial" w:hAnsi="Arial"/>
          <w:color w:val="000000"/>
          <w:sz w:val="20"/>
        </w:rPr>
        <w:t>Primary BF là luồng khó chính dùng để đánh giá trách nhiệm. Supporting BF được chia để mọi người đều làm cả ba iteration nhưng không ghi đè Primary BF.</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Thành viên</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Primary BF</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Supporting BF</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1</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2</w:t>
            </w:r>
          </w:p>
        </w:tc>
        <w:tc>
          <w:tcPr>
            <w:tcW w:type="dxa" w:w="1694"/>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Iteration 3</w:t>
            </w:r>
          </w:p>
        </w:tc>
      </w:tr>
      <w:tr>
        <w:tc>
          <w:tcPr>
            <w:tcW w:type="dxa" w:w="1694"/>
            <w:vAlign w:val="center"/>
            <w:tcMar>
              <w:top w:w="90" w:type="dxa"/>
              <w:start w:w="100" w:type="dxa"/>
              <w:bottom w:w="90" w:type="dxa"/>
              <w:end w:w="100" w:type="dxa"/>
            </w:tcMar>
          </w:tcPr>
          <w:p>
            <w:pPr>
              <w:spacing w:after="0" w:before="0"/>
            </w:pPr>
            <w:r/>
            <w:r>
              <w:rPr>
                <w:rFonts w:ascii="Arial" w:hAnsi="Arial"/>
                <w:color w:val="000000"/>
                <w:sz w:val="16"/>
              </w:rPr>
              <w:t>Nhat Trung</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BF-05</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BF-01</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Rà migration MySQL; seed package/slot/pricing; Premium checkout contract; Payment Fake Adapter; skeleton BF-05</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Booking, availability, slot hold, proposal và contract state; hoàn thiện BF-01</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Payment webhook, invoice, booking concurrency và E2E BF-05</w:t>
            </w:r>
          </w:p>
        </w:tc>
      </w:tr>
      <w:tr>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Quang Cuong</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BF-06</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BF-02</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Hoàn thiện source foundation, test foundation, Article/Paywall API và skeleton BF-06</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Campaign draft, targeting, creative upload/version; hoàn thiện BF-02</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Storage adapter, immutable creative version, submission validation và E2E BF-06</w:t>
            </w:r>
          </w:p>
        </w:tc>
      </w:tr>
      <w:tr>
        <w:tc>
          <w:tcPr>
            <w:tcW w:type="dxa" w:w="1694"/>
            <w:vAlign w:val="center"/>
            <w:tcMar>
              <w:top w:w="90" w:type="dxa"/>
              <w:start w:w="100" w:type="dxa"/>
              <w:bottom w:w="90" w:type="dxa"/>
              <w:end w:w="100" w:type="dxa"/>
            </w:tcMar>
          </w:tcPr>
          <w:p>
            <w:pPr>
              <w:spacing w:after="0" w:before="0"/>
            </w:pPr>
            <w:r/>
            <w:r>
              <w:rPr>
                <w:rFonts w:ascii="Arial" w:hAnsi="Arial"/>
                <w:color w:val="000000"/>
                <w:sz w:val="16"/>
              </w:rPr>
              <w:t>Ta Viet</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BF-07</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BF-03</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Company profile/application/document model; API contract và skeleton BF-07</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Hoàn thiện BF-03; campaign/creative review queue và decision</w:t>
            </w:r>
          </w:p>
        </w:tc>
        <w:tc>
          <w:tcPr>
            <w:tcW w:type="dxa" w:w="1694"/>
            <w:vAlign w:val="center"/>
            <w:tcMar>
              <w:top w:w="90" w:type="dxa"/>
              <w:start w:w="100" w:type="dxa"/>
              <w:bottom w:w="90" w:type="dxa"/>
              <w:end w:w="100" w:type="dxa"/>
            </w:tcMar>
          </w:tcPr>
          <w:p>
            <w:pPr>
              <w:spacing w:after="0" w:before="0"/>
            </w:pPr>
            <w:r/>
            <w:r>
              <w:rPr>
                <w:rFonts w:ascii="Arial" w:hAnsi="Arial"/>
                <w:color w:val="000000"/>
                <w:sz w:val="16"/>
              </w:rPr>
              <w:t>Activation scheduler, revision/resubmit, pause/resume và E2E BF-07</w:t>
            </w:r>
          </w:p>
        </w:tc>
      </w:tr>
      <w:tr>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Duc Ngoc</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BF-08</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BF-04</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Review/audit/notification foundation; ad-event contract và skeleton BF-08</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Hoàn thiện BF-04; ad selection, impression/click event</w:t>
            </w:r>
          </w:p>
        </w:tc>
        <w:tc>
          <w:tcPr>
            <w:tcW w:type="dxa" w:w="1694"/>
            <w:vAlign w:val="center"/>
            <w:tcMar>
              <w:top w:w="90" w:type="dxa"/>
              <w:start w:w="100" w:type="dxa"/>
              <w:bottom w:w="90" w:type="dxa"/>
              <w:end w:w="100" w:type="dxa"/>
            </w:tcMar>
            <w:shd w:fill="F2F6FA"/>
          </w:tcPr>
          <w:p>
            <w:pPr>
              <w:spacing w:after="0" w:before="0"/>
            </w:pPr>
            <w:r/>
            <w:r>
              <w:rPr>
                <w:rFonts w:ascii="Arial" w:hAnsi="Arial"/>
                <w:color w:val="000000"/>
                <w:sz w:val="16"/>
              </w:rPr>
              <w:t>Deduplication, aggregation, quota, dashboard/final report và E2E BF-08</w:t>
            </w:r>
          </w:p>
        </w:tc>
      </w:tr>
    </w:tbl>
    <w:p>
      <w:pPr>
        <w:spacing w:after="0"/>
      </w:pPr>
    </w:p>
    <w:p>
      <w:r>
        <w:rPr>
          <w:rFonts w:ascii="Arial" w:hAnsi="Arial"/>
          <w:color w:val="000000"/>
          <w:sz w:val="20"/>
        </w:rPr>
        <w:t>Các phần dùng chung phải được merge sớm trong Iteration 1: error format, security principal, role constants, status enum, audit interface, pagination DTO, test fixture và OpenAPI convention.</w:t>
      </w:r>
    </w:p>
    <w:p>
      <w:pPr>
        <w:pStyle w:val="Heading3"/>
      </w:pPr>
      <w:r>
        <w:t>3.1 Phân công Supporting Use Case và màn hình dùng chung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Phạm vi</w:t>
            </w:r>
          </w:p>
        </w:tc>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Owner chính</w:t>
            </w:r>
          </w:p>
        </w:tc>
        <w:tc>
          <w:tcPr>
            <w:tcW w:type="dxa" w:w="3389"/>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8"/>
              </w:rPr>
              <w:t>Ghi chú</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UC-01–UC-10 News, Authentication, Account, Bookmark</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Quang Cuong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Auth foundation đã có; tiếp tục Search, Article, Profile, Password Reset và Bookmark.</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UC-34 User and Role Management</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Duc Ngoc</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Dùng chung RBAC, audit và account status.</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UC-35 Premium Package Management</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Nhat Trung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Cung cấp master data cho BF-01.</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UC-36 B2B Package and Pricing</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Nhat Trung</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Cung cấp master data và price snapshot cho BF-05.</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UC-37 System Settings</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Quang Cuong</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Chỉ tạo các setting thực sự được service/job sử dụng.</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UC-38 Company Profile</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Ta Viet</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Thuộc nền tảng BF-03/BF-04.</w:t>
            </w:r>
          </w:p>
        </w:tc>
      </w:tr>
      <w:tr>
        <w:tc>
          <w:tcPr>
            <w:tcW w:type="dxa" w:w="3389"/>
            <w:vAlign w:val="center"/>
            <w:tcMar>
              <w:top w:w="90" w:type="dxa"/>
              <w:start w:w="100" w:type="dxa"/>
              <w:bottom w:w="90" w:type="dxa"/>
              <w:end w:w="100" w:type="dxa"/>
            </w:tcMar>
          </w:tcPr>
          <w:p>
            <w:pPr>
              <w:spacing w:after="0" w:before="0"/>
            </w:pPr>
            <w:r/>
            <w:r>
              <w:rPr>
                <w:rFonts w:ascii="Arial" w:hAnsi="Arial"/>
                <w:color w:val="000000"/>
                <w:sz w:val="18"/>
              </w:rPr>
              <w:t>UC-39 Pause/Resume Campaign</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Ta Viet</w:t>
            </w:r>
          </w:p>
        </w:tc>
        <w:tc>
          <w:tcPr>
            <w:tcW w:type="dxa" w:w="3389"/>
            <w:vAlign w:val="center"/>
            <w:tcMar>
              <w:top w:w="90" w:type="dxa"/>
              <w:start w:w="100" w:type="dxa"/>
              <w:bottom w:w="90" w:type="dxa"/>
              <w:end w:w="100" w:type="dxa"/>
            </w:tcMar>
          </w:tcPr>
          <w:p>
            <w:pPr>
              <w:spacing w:after="0" w:before="0"/>
            </w:pPr>
            <w:r/>
            <w:r>
              <w:rPr>
                <w:rFonts w:ascii="Arial" w:hAnsi="Arial"/>
                <w:color w:val="000000"/>
                <w:sz w:val="18"/>
              </w:rPr>
              <w:t>Sở hữu API và state transition; Duc Ngoc sử dụng tại monitor/report BF-08.</w:t>
            </w:r>
          </w:p>
        </w:tc>
      </w:tr>
      <w:tr>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Dashboard và Notification Center</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Owner của dữ liệu nguồn</w:t>
            </w:r>
          </w:p>
        </w:tc>
        <w:tc>
          <w:tcPr>
            <w:tcW w:type="dxa" w:w="3389"/>
            <w:vAlign w:val="center"/>
            <w:tcMar>
              <w:top w:w="90" w:type="dxa"/>
              <w:start w:w="100" w:type="dxa"/>
              <w:bottom w:w="90" w:type="dxa"/>
              <w:end w:w="100" w:type="dxa"/>
            </w:tcMar>
            <w:shd w:fill="F2F6FA"/>
          </w:tcPr>
          <w:p>
            <w:pPr>
              <w:spacing w:after="0" w:before="0"/>
            </w:pPr>
            <w:r/>
            <w:r>
              <w:rPr>
                <w:rFonts w:ascii="Arial" w:hAnsi="Arial"/>
                <w:color w:val="000000"/>
                <w:sz w:val="18"/>
              </w:rPr>
              <w:t>Dashboard tổng hợp API đã có; không tạo business rule riêng ở frontend.</w:t>
            </w:r>
          </w:p>
        </w:tc>
      </w:tr>
    </w:tbl>
    <w:p>
      <w:pPr>
        <w:spacing w:after="0"/>
      </w:pPr>
    </w:p>
    <w:p>
      <w:pPr>
        <w:pStyle w:val="Heading3"/>
      </w:pPr>
      <w:r>
        <w:t>3.2 Điều kiện kết thúc từng iteration</w:t>
      </w:r>
    </w:p>
    <w:p>
      <w:pPr>
        <w:pStyle w:val="ListBullet"/>
      </w:pPr>
      <w:r>
        <w:rPr>
          <w:rFonts w:ascii="Arial" w:hAnsi="Arial"/>
          <w:b/>
          <w:color w:val="000000"/>
          <w:sz w:val="20"/>
        </w:rPr>
        <w:t>Iteration 1:</w:t>
      </w:r>
      <w:r>
        <w:rPr>
          <w:rFonts w:ascii="Arial" w:hAnsi="Arial"/>
          <w:color w:val="000000"/>
          <w:sz w:val="20"/>
        </w:rPr>
        <w:t xml:space="preserve"> Flyway chạy trên MySQL; auth/RBAC/CSRF hoạt động; OpenAPI và error format được chốt; có seed Article, Package, Slot và B2B Package; mỗi Primary BF có entity/DTO/API contract và trang khung; frontend/backend test foundation chạy được.</w:t>
      </w:r>
    </w:p>
    <w:p>
      <w:pPr>
        <w:pStyle w:val="ListBullet"/>
      </w:pPr>
      <w:r>
        <w:rPr>
          <w:rFonts w:ascii="Arial" w:hAnsi="Arial"/>
          <w:b/>
          <w:color w:val="000000"/>
          <w:sz w:val="20"/>
        </w:rPr>
        <w:t>Iteration 2:</w:t>
      </w:r>
      <w:r>
        <w:rPr>
          <w:rFonts w:ascii="Arial" w:hAnsi="Arial"/>
          <w:color w:val="000000"/>
          <w:sz w:val="20"/>
        </w:rPr>
        <w:t xml:space="preserve"> Happy path của cả tám BF chạy từ UI đến MySQL; ownership và role được kiểm tra ở backend; state transition quan trọng có unit test; UI có loading, empty, validation và error state; màn nghiệp vụ không dùng dữ liệu hard-code.</w:t>
      </w:r>
    </w:p>
    <w:p>
      <w:pPr>
        <w:pStyle w:val="ListBullet"/>
      </w:pPr>
      <w:r>
        <w:rPr>
          <w:rFonts w:ascii="Arial" w:hAnsi="Arial"/>
          <w:b/>
          <w:color w:val="000000"/>
          <w:sz w:val="20"/>
        </w:rPr>
        <w:t>Iteration 3:</w:t>
      </w:r>
      <w:r>
        <w:rPr>
          <w:rFonts w:ascii="Arial" w:hAnsi="Arial"/>
          <w:color w:val="000000"/>
          <w:sz w:val="20"/>
        </w:rPr>
        <w:t xml:space="preserve"> Payment/upload/scheduler dùng adapter thật hoặc sandbox đã chốt; alternative flow quan trọng và E2E chạy được; audit/notification đầy đủ; migration smoke test, frontend build và backend test đều xanh; có dữ liệu demo và hướng dẫn chạy local/deploy.</w:t>
      </w:r>
    </w:p>
    <w:p>
      <w:pPr>
        <w:pStyle w:val="Heading1"/>
      </w:pPr>
      <w:r>
        <w:t>4. Traceability của tám Main Flow</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BF</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Use Case</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Screen chính</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Backend module</w:t>
            </w:r>
          </w:p>
        </w:tc>
        <w:tc>
          <w:tcPr>
            <w:tcW w:type="dxa" w:w="2033"/>
            <w:vAlign w:val="center"/>
            <w:tcMar>
              <w:top w:w="90" w:type="dxa"/>
              <w:start w:w="100" w:type="dxa"/>
              <w:bottom w:w="90" w:type="dxa"/>
              <w:end w:w="100" w:type="dxa"/>
            </w:tcMar>
            <w:shd w:fill="1F4E78"/>
          </w:tcPr>
          <w:p>
            <w:pPr>
              <w:spacing w:after="0" w:before="0"/>
            </w:pPr>
            <w:r>
              <w:rPr>
                <w:b/>
                <w:color w:val="FFFFFF"/>
              </w:rPr>
            </w:r>
            <w:r>
              <w:rPr>
                <w:rFonts w:ascii="Arial" w:hAnsi="Arial"/>
                <w:b/>
                <w:color w:val="FFFFFF"/>
                <w:sz w:val="16"/>
              </w:rPr>
              <w:t>Bảng dữ liệu chính</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BF-01</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UC-11–UC-14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PRE-01–PRE-07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premium, payment</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subscription_packages, subscriptions, transactions, payment_webhook_events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BF-02</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UC-15–UC-16, UC-10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PUB-03, PUB-04, ACC-03, PRE-05</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news, premium</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articles, subscriptions, bookmarks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BF-03</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UC-17, UC-18, UC-38</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BUS-01–BUS-04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partnership, storage</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users, companies, company_documents, audit_logs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BF-04</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UC-19, UC-20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ADM-01–ADM-03, BUS-04</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partnership.review</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companies, company_documents, notifications, audit_logs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BF-05</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UC-21–UC-24</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BUS-05–BUS-12, ADM-04–ADM-06</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booking, contract, payment</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ad_slots, b2b_packages, contracts, transactions, payment_webhook_events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BF-06</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UC-25–UC-27</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BUS-13–BUS-17</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campaign, creative, storage</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contracts, ad_campaigns, ad_targeting, ad_creatives</w:t>
            </w:r>
          </w:p>
        </w:tc>
      </w:tr>
      <w:tr>
        <w:tc>
          <w:tcPr>
            <w:tcW w:type="dxa" w:w="2033"/>
            <w:vAlign w:val="center"/>
            <w:tcMar>
              <w:top w:w="90" w:type="dxa"/>
              <w:start w:w="100" w:type="dxa"/>
              <w:bottom w:w="90" w:type="dxa"/>
              <w:end w:w="100" w:type="dxa"/>
            </w:tcMar>
          </w:tcPr>
          <w:p>
            <w:pPr>
              <w:spacing w:after="0" w:before="0"/>
            </w:pPr>
            <w:r/>
            <w:r>
              <w:rPr>
                <w:rFonts w:ascii="Arial" w:hAnsi="Arial"/>
                <w:color w:val="000000"/>
                <w:sz w:val="16"/>
              </w:rPr>
              <w:t>BF-07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UC-28–UC-30</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ADM-07–ADM-09, BUS-17</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campaign.review, scheduler</w:t>
            </w:r>
          </w:p>
        </w:tc>
        <w:tc>
          <w:tcPr>
            <w:tcW w:type="dxa" w:w="2033"/>
            <w:vAlign w:val="center"/>
            <w:tcMar>
              <w:top w:w="90" w:type="dxa"/>
              <w:start w:w="100" w:type="dxa"/>
              <w:bottom w:w="90" w:type="dxa"/>
              <w:end w:w="100" w:type="dxa"/>
            </w:tcMar>
          </w:tcPr>
          <w:p>
            <w:pPr>
              <w:spacing w:after="0" w:before="0"/>
            </w:pPr>
            <w:r/>
            <w:r>
              <w:rPr>
                <w:rFonts w:ascii="Arial" w:hAnsi="Arial"/>
                <w:color w:val="000000"/>
                <w:sz w:val="16"/>
              </w:rPr>
              <w:t>ad_campaigns, ad_creatives, ad_reviews, audit_logs</w:t>
            </w:r>
          </w:p>
        </w:tc>
      </w:tr>
      <w:tr>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BF-08</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UC-31, UC-32, UC-39</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PUB-01, PUB-03, BUS-18–19, ADM-09–10</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delivery, analytics</w:t>
            </w:r>
          </w:p>
        </w:tc>
        <w:tc>
          <w:tcPr>
            <w:tcW w:type="dxa" w:w="2033"/>
            <w:vAlign w:val="center"/>
            <w:tcMar>
              <w:top w:w="90" w:type="dxa"/>
              <w:start w:w="100" w:type="dxa"/>
              <w:bottom w:w="90" w:type="dxa"/>
              <w:end w:w="100" w:type="dxa"/>
            </w:tcMar>
            <w:shd w:fill="F2F6FA"/>
          </w:tcPr>
          <w:p>
            <w:pPr>
              <w:spacing w:after="0" w:before="0"/>
            </w:pPr>
            <w:r/>
            <w:r>
              <w:rPr>
                <w:rFonts w:ascii="Arial" w:hAnsi="Arial"/>
                <w:color w:val="000000"/>
                <w:sz w:val="16"/>
              </w:rPr>
              <w:t>ad_events, ad_metrics, ad_campaigns, ad_creatives, ad_slots</w:t>
            </w:r>
          </w:p>
        </w:tc>
      </w:tr>
    </w:tbl>
    <w:p>
      <w:pPr>
        <w:spacing w:after="0"/>
      </w:pPr>
    </w:p>
    <w:p>
      <w:pPr>
        <w:pStyle w:val="Heading1"/>
      </w:pPr>
      <w:r>
        <w:t>5. Graph và nhánh xử lý của từng Main Flow</w:t>
      </w:r>
    </w:p>
    <w:p>
      <w:pPr>
        <w:pStyle w:val="Heading3"/>
      </w:pPr>
      <w:r>
        <w:t xml:space="preserve"> BF-01 Purchase or Renew Premium Subscription</w:t>
      </w:r>
    </w:p>
    <w:p>
      <w:pPr>
        <w:keepNext/>
        <w:spacing w:after="40"/>
        <w:jc w:val="center"/>
      </w:pPr>
      <w:r>
        <w:drawing>
          <wp:inline xmlns:a="http://schemas.openxmlformats.org/drawingml/2006/main" xmlns:pic="http://schemas.openxmlformats.org/drawingml/2006/picture">
            <wp:extent cx="6446520" cy="5801868"/>
            <wp:docPr id="3" name="Picture 3"/>
            <wp:cNvGraphicFramePr>
              <a:graphicFrameLocks noChangeAspect="1"/>
            </wp:cNvGraphicFramePr>
            <a:graphic>
              <a:graphicData uri="http://schemas.openxmlformats.org/drawingml/2006/picture">
                <pic:pic>
                  <pic:nvPicPr>
                    <pic:cNvPr id="0" name="BF-01.png"/>
                    <pic:cNvPicPr/>
                  </pic:nvPicPr>
                  <pic:blipFill>
                    <a:blip r:embed="rId11"/>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BF-01  Purchase or Renew Premium Subscription</w:t>
      </w:r>
    </w:p>
    <w:p>
      <w:r>
        <w:rPr>
          <w:rFonts w:ascii="Arial" w:hAnsi="Arial"/>
          <w:color w:val="000000"/>
          <w:sz w:val="20"/>
        </w:rPr>
        <w:t xml:space="preserve">API tối thiểu: </w:t>
      </w:r>
      <w:r>
        <w:rPr>
          <w:rFonts w:ascii="Consolas" w:hAnsi="Consolas"/>
          <w:color w:val="17365D"/>
          <w:sz w:val="17"/>
        </w:rPr>
        <w:t>GET /api/subscription-packages</w:t>
      </w:r>
      <w:r>
        <w:rPr>
          <w:rFonts w:ascii="Arial" w:hAnsi="Arial"/>
          <w:color w:val="000000"/>
          <w:sz w:val="20"/>
        </w:rPr>
        <w:t xml:space="preserve">, </w:t>
      </w:r>
      <w:r>
        <w:rPr>
          <w:rFonts w:ascii="Consolas" w:hAnsi="Consolas"/>
          <w:color w:val="17365D"/>
          <w:sz w:val="17"/>
        </w:rPr>
        <w:t>GET /api/subscriptions/me</w:t>
      </w:r>
      <w:r>
        <w:rPr>
          <w:rFonts w:ascii="Arial" w:hAnsi="Arial"/>
          <w:color w:val="000000"/>
          <w:sz w:val="20"/>
        </w:rPr>
        <w:t xml:space="preserve">, </w:t>
      </w:r>
      <w:r>
        <w:rPr>
          <w:rFonts w:ascii="Consolas" w:hAnsi="Consolas"/>
          <w:color w:val="17365D"/>
          <w:sz w:val="17"/>
        </w:rPr>
        <w:t>POST /api/subscriptions/checkout</w:t>
      </w:r>
      <w:r>
        <w:rPr>
          <w:rFonts w:ascii="Arial" w:hAnsi="Arial"/>
          <w:color w:val="000000"/>
          <w:sz w:val="20"/>
        </w:rPr>
        <w:t xml:space="preserve">, </w:t>
      </w:r>
      <w:r>
        <w:rPr>
          <w:rFonts w:ascii="Consolas" w:hAnsi="Consolas"/>
          <w:color w:val="17365D"/>
          <w:sz w:val="17"/>
        </w:rPr>
        <w:t>POST /api/payments/webhooks/{provider}</w:t>
      </w:r>
      <w:r>
        <w:rPr>
          <w:rFonts w:ascii="Arial" w:hAnsi="Arial"/>
          <w:color w:val="000000"/>
          <w:sz w:val="20"/>
        </w:rPr>
        <w:t xml:space="preserve">, </w:t>
      </w:r>
      <w:r>
        <w:rPr>
          <w:rFonts w:ascii="Consolas" w:hAnsi="Consolas"/>
          <w:color w:val="17365D"/>
          <w:sz w:val="17"/>
        </w:rPr>
        <w:t>GET /api/transactions/{id}</w:t>
      </w:r>
      <w:r>
        <w:rPr>
          <w:rFonts w:ascii="Arial" w:hAnsi="Arial"/>
          <w:color w:val="000000"/>
          <w:sz w:val="20"/>
        </w:rPr>
        <w:t>.</w:t>
      </w:r>
    </w:p>
    <w:p>
      <w:r>
        <w:rPr>
          <w:rFonts w:ascii="Arial" w:hAnsi="Arial"/>
          <w:color w:val="000000"/>
          <w:sz w:val="20"/>
        </w:rPr>
        <w:t xml:space="preserve">Acceptance: callback trùng không gia hạn hai lần; gia hạn khi còn hạn bắt đầu từ </w:t>
      </w:r>
      <w:r>
        <w:rPr>
          <w:rFonts w:ascii="Consolas" w:hAnsi="Consolas"/>
          <w:color w:val="17365D"/>
          <w:sz w:val="17"/>
        </w:rPr>
        <w:t>current.end_at</w:t>
      </w:r>
      <w:r>
        <w:rPr>
          <w:rFonts w:ascii="Arial" w:hAnsi="Arial"/>
          <w:color w:val="000000"/>
          <w:sz w:val="20"/>
        </w:rPr>
        <w:t>, khi đã hết hạn bắt đầu từ thời điểm thanh toán thành công.</w:t>
      </w:r>
    </w:p>
    <w:p>
      <w:pPr>
        <w:pStyle w:val="Heading3"/>
      </w:pPr>
      <w:r>
        <w:t xml:space="preserve"> BF-02 Access Premium Content</w:t>
      </w:r>
    </w:p>
    <w:p>
      <w:pPr>
        <w:keepNext/>
        <w:spacing w:after="40"/>
        <w:jc w:val="center"/>
      </w:pPr>
      <w:r>
        <w:drawing>
          <wp:inline xmlns:a="http://schemas.openxmlformats.org/drawingml/2006/main" xmlns:pic="http://schemas.openxmlformats.org/drawingml/2006/picture">
            <wp:extent cx="6446520" cy="5801868"/>
            <wp:docPr id="4" name="Picture 4"/>
            <wp:cNvGraphicFramePr>
              <a:graphicFrameLocks noChangeAspect="1"/>
            </wp:cNvGraphicFramePr>
            <a:graphic>
              <a:graphicData uri="http://schemas.openxmlformats.org/drawingml/2006/picture">
                <pic:pic>
                  <pic:nvPicPr>
                    <pic:cNvPr id="0" name="BF-02.png"/>
                    <pic:cNvPicPr/>
                  </pic:nvPicPr>
                  <pic:blipFill>
                    <a:blip r:embed="rId12"/>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BF-02  Access Premium Content</w:t>
      </w:r>
    </w:p>
    <w:p>
      <w:r>
        <w:rPr>
          <w:rFonts w:ascii="Arial" w:hAnsi="Arial"/>
          <w:color w:val="000000"/>
          <w:sz w:val="20"/>
        </w:rPr>
        <w:t xml:space="preserve">API tối thiểu: </w:t>
      </w:r>
      <w:r>
        <w:rPr>
          <w:rFonts w:ascii="Consolas" w:hAnsi="Consolas"/>
          <w:color w:val="17365D"/>
          <w:sz w:val="17"/>
        </w:rPr>
        <w:t>GET /api/articles</w:t>
      </w:r>
      <w:r>
        <w:rPr>
          <w:rFonts w:ascii="Arial" w:hAnsi="Arial"/>
          <w:color w:val="000000"/>
          <w:sz w:val="20"/>
        </w:rPr>
        <w:t xml:space="preserve">, </w:t>
      </w:r>
      <w:r>
        <w:rPr>
          <w:rFonts w:ascii="Consolas" w:hAnsi="Consolas"/>
          <w:color w:val="17365D"/>
          <w:sz w:val="17"/>
        </w:rPr>
        <w:t>GET /api/articles/{slug}</w:t>
      </w:r>
      <w:r>
        <w:rPr>
          <w:rFonts w:ascii="Arial" w:hAnsi="Arial"/>
          <w:color w:val="000000"/>
          <w:sz w:val="20"/>
        </w:rPr>
        <w:t xml:space="preserve">, </w:t>
      </w:r>
      <w:r>
        <w:rPr>
          <w:rFonts w:ascii="Consolas" w:hAnsi="Consolas"/>
          <w:color w:val="17365D"/>
          <w:sz w:val="17"/>
        </w:rPr>
        <w:t>POST /api/bookmarks/{articleId}</w:t>
      </w:r>
      <w:r>
        <w:rPr>
          <w:rFonts w:ascii="Arial" w:hAnsi="Arial"/>
          <w:color w:val="000000"/>
          <w:sz w:val="20"/>
        </w:rPr>
        <w:t xml:space="preserve">, </w:t>
      </w:r>
      <w:r>
        <w:rPr>
          <w:rFonts w:ascii="Consolas" w:hAnsi="Consolas"/>
          <w:color w:val="17365D"/>
          <w:sz w:val="17"/>
        </w:rPr>
        <w:t>DELETE /api/bookmarks/{articleId}</w:t>
      </w:r>
      <w:r>
        <w:rPr>
          <w:rFonts w:ascii="Arial" w:hAnsi="Arial"/>
          <w:color w:val="000000"/>
          <w:sz w:val="20"/>
        </w:rPr>
        <w:t>.</w:t>
      </w:r>
    </w:p>
    <w:p>
      <w:r>
        <w:rPr>
          <w:rFonts w:ascii="Arial" w:hAnsi="Arial"/>
          <w:color w:val="000000"/>
          <w:sz w:val="20"/>
        </w:rPr>
        <w:t>Acceptance: response cho user không có entitlement không được chứa full content trong JSON/HTML; server quyết định quyền, không dựa vào việc frontend che text.</w:t>
      </w:r>
    </w:p>
    <w:p>
      <w:pPr>
        <w:pStyle w:val="Heading3"/>
      </w:pPr>
      <w:r>
        <w:t xml:space="preserve"> BF-03 Submit Business Partnership Application</w:t>
      </w:r>
    </w:p>
    <w:p>
      <w:pPr>
        <w:keepNext/>
        <w:spacing w:after="40"/>
        <w:jc w:val="center"/>
      </w:pPr>
      <w:r>
        <w:drawing>
          <wp:inline xmlns:a="http://schemas.openxmlformats.org/drawingml/2006/main" xmlns:pic="http://schemas.openxmlformats.org/drawingml/2006/picture">
            <wp:extent cx="6446520" cy="5801868"/>
            <wp:docPr id="5" name="Picture 5"/>
            <wp:cNvGraphicFramePr>
              <a:graphicFrameLocks noChangeAspect="1"/>
            </wp:cNvGraphicFramePr>
            <a:graphic>
              <a:graphicData uri="http://schemas.openxmlformats.org/drawingml/2006/picture">
                <pic:pic>
                  <pic:nvPicPr>
                    <pic:cNvPr id="0" name="BF-03.png"/>
                    <pic:cNvPicPr/>
                  </pic:nvPicPr>
                  <pic:blipFill>
                    <a:blip r:embed="rId13"/>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BF-03  Submit Business Partnership Application</w:t>
      </w:r>
    </w:p>
    <w:p>
      <w:r>
        <w:rPr>
          <w:rFonts w:ascii="Arial" w:hAnsi="Arial"/>
          <w:color w:val="000000"/>
          <w:sz w:val="20"/>
        </w:rPr>
        <w:t xml:space="preserve">API tối thiểu: </w:t>
      </w:r>
      <w:r>
        <w:rPr>
          <w:rFonts w:ascii="Consolas" w:hAnsi="Consolas"/>
          <w:color w:val="17365D"/>
          <w:sz w:val="17"/>
        </w:rPr>
        <w:t>POST /api/partnership-applications</w:t>
      </w:r>
      <w:r>
        <w:rPr>
          <w:rFonts w:ascii="Arial" w:hAnsi="Arial"/>
          <w:color w:val="000000"/>
          <w:sz w:val="20"/>
        </w:rPr>
        <w:t xml:space="preserve">, </w:t>
      </w:r>
      <w:r>
        <w:rPr>
          <w:rFonts w:ascii="Consolas" w:hAnsi="Consolas"/>
          <w:color w:val="17365D"/>
          <w:sz w:val="17"/>
        </w:rPr>
        <w:t>PUT /api/partnership-applications/{id}</w:t>
      </w:r>
      <w:r>
        <w:rPr>
          <w:rFonts w:ascii="Arial" w:hAnsi="Arial"/>
          <w:color w:val="000000"/>
          <w:sz w:val="20"/>
        </w:rPr>
        <w:t xml:space="preserve">, </w:t>
      </w:r>
      <w:r>
        <w:rPr>
          <w:rFonts w:ascii="Consolas" w:hAnsi="Consolas"/>
          <w:color w:val="17365D"/>
          <w:sz w:val="17"/>
        </w:rPr>
        <w:t>POST /api/partnership-applications/{id}/documents</w:t>
      </w:r>
      <w:r>
        <w:rPr>
          <w:rFonts w:ascii="Arial" w:hAnsi="Arial"/>
          <w:color w:val="000000"/>
          <w:sz w:val="20"/>
        </w:rPr>
        <w:t xml:space="preserve">, </w:t>
      </w:r>
      <w:r>
        <w:rPr>
          <w:rFonts w:ascii="Consolas" w:hAnsi="Consolas"/>
          <w:color w:val="17365D"/>
          <w:sz w:val="17"/>
        </w:rPr>
        <w:t>POST /api/partnership-applications/{id}/submit</w:t>
      </w:r>
      <w:r>
        <w:rPr>
          <w:rFonts w:ascii="Arial" w:hAnsi="Arial"/>
          <w:color w:val="000000"/>
          <w:sz w:val="20"/>
        </w:rPr>
        <w:t xml:space="preserve">, </w:t>
      </w:r>
      <w:r>
        <w:rPr>
          <w:rFonts w:ascii="Consolas" w:hAnsi="Consolas"/>
          <w:color w:val="17365D"/>
          <w:sz w:val="17"/>
        </w:rPr>
        <w:t>GET /api/partnership-applications/me</w:t>
      </w:r>
      <w:r>
        <w:rPr>
          <w:rFonts w:ascii="Arial" w:hAnsi="Arial"/>
          <w:color w:val="000000"/>
          <w:sz w:val="20"/>
        </w:rPr>
        <w:t>.</w:t>
      </w:r>
    </w:p>
    <w:p>
      <w:r>
        <w:rPr>
          <w:rFonts w:ascii="Arial" w:hAnsi="Arial"/>
          <w:color w:val="000000"/>
          <w:sz w:val="20"/>
        </w:rPr>
        <w:t>Acceptance: đăng ký Business không yêu cầu legal document; chỉ submit application mới yêu cầu đủ loại tài liệu.</w:t>
      </w:r>
    </w:p>
    <w:p>
      <w:pPr>
        <w:pStyle w:val="Heading3"/>
      </w:pPr>
      <w:r>
        <w:t xml:space="preserve"> BF-04 Review Business Partnership Application</w:t>
      </w:r>
    </w:p>
    <w:p>
      <w:pPr>
        <w:keepNext/>
        <w:spacing w:after="40"/>
        <w:jc w:val="center"/>
      </w:pPr>
      <w:r>
        <w:drawing>
          <wp:inline xmlns:a="http://schemas.openxmlformats.org/drawingml/2006/main" xmlns:pic="http://schemas.openxmlformats.org/drawingml/2006/picture">
            <wp:extent cx="6446520" cy="5801868"/>
            <wp:docPr id="6" name="Picture 6"/>
            <wp:cNvGraphicFramePr>
              <a:graphicFrameLocks noChangeAspect="1"/>
            </wp:cNvGraphicFramePr>
            <a:graphic>
              <a:graphicData uri="http://schemas.openxmlformats.org/drawingml/2006/picture">
                <pic:pic>
                  <pic:nvPicPr>
                    <pic:cNvPr id="0" name="BF-04.png"/>
                    <pic:cNvPicPr/>
                  </pic:nvPicPr>
                  <pic:blipFill>
                    <a:blip r:embed="rId14"/>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BF-04  Review Business Partnership Application</w:t>
      </w:r>
    </w:p>
    <w:p>
      <w:r>
        <w:rPr>
          <w:rFonts w:ascii="Arial" w:hAnsi="Arial"/>
          <w:color w:val="000000"/>
          <w:sz w:val="20"/>
        </w:rPr>
        <w:t xml:space="preserve">API tối thiểu: </w:t>
      </w:r>
      <w:r>
        <w:rPr>
          <w:rFonts w:ascii="Consolas" w:hAnsi="Consolas"/>
          <w:color w:val="17365D"/>
          <w:sz w:val="17"/>
        </w:rPr>
        <w:t>GET /api/ad-manager/partnership-applications</w:t>
      </w:r>
      <w:r>
        <w:rPr>
          <w:rFonts w:ascii="Arial" w:hAnsi="Arial"/>
          <w:color w:val="000000"/>
          <w:sz w:val="20"/>
        </w:rPr>
        <w:t xml:space="preserve">, </w:t>
      </w:r>
      <w:r>
        <w:rPr>
          <w:rFonts w:ascii="Consolas" w:hAnsi="Consolas"/>
          <w:color w:val="17365D"/>
          <w:sz w:val="17"/>
        </w:rPr>
        <w:t>GET /api/ad-manager/partnership-applications/{id}</w:t>
      </w:r>
      <w:r>
        <w:rPr>
          <w:rFonts w:ascii="Arial" w:hAnsi="Arial"/>
          <w:color w:val="000000"/>
          <w:sz w:val="20"/>
        </w:rPr>
        <w:t xml:space="preserve">, </w:t>
      </w:r>
      <w:r>
        <w:rPr>
          <w:rFonts w:ascii="Consolas" w:hAnsi="Consolas"/>
          <w:color w:val="17365D"/>
          <w:sz w:val="17"/>
        </w:rPr>
        <w:t>POST /api/ad-manager/partnership-applications/{id}/decision</w:t>
      </w:r>
      <w:r>
        <w:rPr>
          <w:rFonts w:ascii="Arial" w:hAnsi="Arial"/>
          <w:color w:val="000000"/>
          <w:sz w:val="20"/>
        </w:rPr>
        <w:t>.</w:t>
      </w:r>
    </w:p>
    <w:p>
      <w:r>
        <w:rPr>
          <w:rFonts w:ascii="Arial" w:hAnsi="Arial"/>
          <w:color w:val="000000"/>
          <w:sz w:val="20"/>
        </w:rPr>
        <w:t>Acceptance: decision dùng expected version/status để ngăn hai Ad Manager quyết định cùng hồ sơ; reason bắt buộc với REJECTED/NEEDS_REVISION.</w:t>
      </w:r>
    </w:p>
    <w:p>
      <w:pPr>
        <w:pStyle w:val="Heading3"/>
      </w:pPr>
      <w:r>
        <w:t xml:space="preserve"> BF-05 Book Advertising Slot and Finalize Contract</w:t>
      </w:r>
    </w:p>
    <w:p>
      <w:pPr>
        <w:keepNext/>
        <w:spacing w:after="40"/>
        <w:jc w:val="center"/>
      </w:pPr>
      <w:r>
        <w:drawing>
          <wp:inline xmlns:a="http://schemas.openxmlformats.org/drawingml/2006/main" xmlns:pic="http://schemas.openxmlformats.org/drawingml/2006/picture">
            <wp:extent cx="6446520" cy="6300008"/>
            <wp:docPr id="7" name="Picture 7"/>
            <wp:cNvGraphicFramePr>
              <a:graphicFrameLocks noChangeAspect="1"/>
            </wp:cNvGraphicFramePr>
            <a:graphic>
              <a:graphicData uri="http://schemas.openxmlformats.org/drawingml/2006/picture">
                <pic:pic>
                  <pic:nvPicPr>
                    <pic:cNvPr id="0" name="BF-05.png"/>
                    <pic:cNvPicPr/>
                  </pic:nvPicPr>
                  <pic:blipFill>
                    <a:blip r:embed="rId15"/>
                    <a:stretch>
                      <a:fillRect/>
                    </a:stretch>
                  </pic:blipFill>
                  <pic:spPr>
                    <a:xfrm>
                      <a:off x="0" y="0"/>
                      <a:ext cx="6446520" cy="6300008"/>
                    </a:xfrm>
                    <a:prstGeom prst="rect"/>
                  </pic:spPr>
                </pic:pic>
              </a:graphicData>
            </a:graphic>
          </wp:inline>
        </w:drawing>
      </w:r>
    </w:p>
    <w:p>
      <w:pPr>
        <w:spacing w:after="160"/>
        <w:jc w:val="center"/>
      </w:pPr>
      <w:r>
        <w:rPr>
          <w:rFonts w:ascii="Arial" w:hAnsi="Arial"/>
          <w:b/>
          <w:color w:val="4B5563"/>
          <w:sz w:val="17"/>
        </w:rPr>
        <w:t>Figure BF-05  Book Advertising Slot and Finalize Contract</w:t>
      </w:r>
    </w:p>
    <w:p>
      <w:r>
        <w:rPr>
          <w:rFonts w:ascii="Arial" w:hAnsi="Arial"/>
          <w:color w:val="000000"/>
          <w:sz w:val="20"/>
        </w:rPr>
        <w:t xml:space="preserve">API tối thiểu: </w:t>
      </w:r>
      <w:r>
        <w:rPr>
          <w:rFonts w:ascii="Consolas" w:hAnsi="Consolas"/>
          <w:color w:val="17365D"/>
          <w:sz w:val="17"/>
        </w:rPr>
        <w:t>GET /api/ad-slots/availability</w:t>
      </w:r>
      <w:r>
        <w:rPr>
          <w:rFonts w:ascii="Arial" w:hAnsi="Arial"/>
          <w:color w:val="000000"/>
          <w:sz w:val="20"/>
        </w:rPr>
        <w:t xml:space="preserve">, </w:t>
      </w:r>
      <w:r>
        <w:rPr>
          <w:rFonts w:ascii="Consolas" w:hAnsi="Consolas"/>
          <w:color w:val="17365D"/>
          <w:sz w:val="17"/>
        </w:rPr>
        <w:t>POST /api/bookings</w:t>
      </w:r>
      <w:r>
        <w:rPr>
          <w:rFonts w:ascii="Arial" w:hAnsi="Arial"/>
          <w:color w:val="000000"/>
          <w:sz w:val="20"/>
        </w:rPr>
        <w:t xml:space="preserve">, </w:t>
      </w:r>
      <w:r>
        <w:rPr>
          <w:rFonts w:ascii="Consolas" w:hAnsi="Consolas"/>
          <w:color w:val="17365D"/>
          <w:sz w:val="17"/>
        </w:rPr>
        <w:t>POST /api/ad-manager/bookings/{id}/proposal</w:t>
      </w:r>
      <w:r>
        <w:rPr>
          <w:rFonts w:ascii="Arial" w:hAnsi="Arial"/>
          <w:color w:val="000000"/>
          <w:sz w:val="20"/>
        </w:rPr>
        <w:t xml:space="preserve">, </w:t>
      </w:r>
      <w:r>
        <w:rPr>
          <w:rFonts w:ascii="Consolas" w:hAnsi="Consolas"/>
          <w:color w:val="17365D"/>
          <w:sz w:val="17"/>
        </w:rPr>
        <w:t>POST /api/contracts/{id}/revision-request</w:t>
      </w:r>
      <w:r>
        <w:rPr>
          <w:rFonts w:ascii="Arial" w:hAnsi="Arial"/>
          <w:color w:val="000000"/>
          <w:sz w:val="20"/>
        </w:rPr>
        <w:t xml:space="preserve">, </w:t>
      </w:r>
      <w:r>
        <w:rPr>
          <w:rFonts w:ascii="Consolas" w:hAnsi="Consolas"/>
          <w:color w:val="17365D"/>
          <w:sz w:val="17"/>
        </w:rPr>
        <w:t>POST /api/contracts/{id}/accept</w:t>
      </w:r>
      <w:r>
        <w:rPr>
          <w:rFonts w:ascii="Arial" w:hAnsi="Arial"/>
          <w:color w:val="000000"/>
          <w:sz w:val="20"/>
        </w:rPr>
        <w:t xml:space="preserve">, </w:t>
      </w:r>
      <w:r>
        <w:rPr>
          <w:rFonts w:ascii="Consolas" w:hAnsi="Consolas"/>
          <w:color w:val="17365D"/>
          <w:sz w:val="17"/>
        </w:rPr>
        <w:t>POST /api/contracts/{id}/checkout</w:t>
      </w:r>
      <w:r>
        <w:rPr>
          <w:rFonts w:ascii="Arial" w:hAnsi="Arial"/>
          <w:color w:val="000000"/>
          <w:sz w:val="20"/>
        </w:rPr>
        <w:t>.</w:t>
      </w:r>
    </w:p>
    <w:p>
      <w:r>
        <w:rPr>
          <w:rFonts w:ascii="Arial" w:hAnsi="Arial"/>
          <w:color w:val="000000"/>
          <w:sz w:val="20"/>
        </w:rPr>
        <w:t>Acceptance: availability check + hold creation chạy trong một transaction có lock; proposal lưu snapshot giá/gói/slot; payment callback trùng không tạo hai hợp đồng Active.</w:t>
      </w:r>
    </w:p>
    <w:p>
      <w:pPr>
        <w:pStyle w:val="Heading3"/>
      </w:pPr>
      <w:r>
        <w:t xml:space="preserve"> BF-06 Create Campaign and Submit Ad Creative</w:t>
      </w:r>
    </w:p>
    <w:p>
      <w:pPr>
        <w:keepNext/>
        <w:spacing w:after="40"/>
        <w:jc w:val="center"/>
      </w:pPr>
      <w:r>
        <w:drawing>
          <wp:inline xmlns:a="http://schemas.openxmlformats.org/drawingml/2006/main" xmlns:pic="http://schemas.openxmlformats.org/drawingml/2006/picture">
            <wp:extent cx="6446520" cy="5801868"/>
            <wp:docPr id="8" name="Picture 8"/>
            <wp:cNvGraphicFramePr>
              <a:graphicFrameLocks noChangeAspect="1"/>
            </wp:cNvGraphicFramePr>
            <a:graphic>
              <a:graphicData uri="http://schemas.openxmlformats.org/drawingml/2006/picture">
                <pic:pic>
                  <pic:nvPicPr>
                    <pic:cNvPr id="0" name="BF-06.png"/>
                    <pic:cNvPicPr/>
                  </pic:nvPicPr>
                  <pic:blipFill>
                    <a:blip r:embed="rId16"/>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BF-06  Create Campaign and Submit Ad Creative</w:t>
      </w:r>
    </w:p>
    <w:p>
      <w:r>
        <w:rPr>
          <w:rFonts w:ascii="Arial" w:hAnsi="Arial"/>
          <w:color w:val="000000"/>
          <w:sz w:val="20"/>
        </w:rPr>
        <w:t xml:space="preserve">API tối thiểu: </w:t>
      </w:r>
      <w:r>
        <w:rPr>
          <w:rFonts w:ascii="Consolas" w:hAnsi="Consolas"/>
          <w:color w:val="17365D"/>
          <w:sz w:val="17"/>
        </w:rPr>
        <w:t>POST /api/campaigns</w:t>
      </w:r>
      <w:r>
        <w:rPr>
          <w:rFonts w:ascii="Arial" w:hAnsi="Arial"/>
          <w:color w:val="000000"/>
          <w:sz w:val="20"/>
        </w:rPr>
        <w:t xml:space="preserve">, </w:t>
      </w:r>
      <w:r>
        <w:rPr>
          <w:rFonts w:ascii="Consolas" w:hAnsi="Consolas"/>
          <w:color w:val="17365D"/>
          <w:sz w:val="17"/>
        </w:rPr>
        <w:t>PUT /api/campaigns/{id}</w:t>
      </w:r>
      <w:r>
        <w:rPr>
          <w:rFonts w:ascii="Arial" w:hAnsi="Arial"/>
          <w:color w:val="000000"/>
          <w:sz w:val="20"/>
        </w:rPr>
        <w:t xml:space="preserve">, </w:t>
      </w:r>
      <w:r>
        <w:rPr>
          <w:rFonts w:ascii="Consolas" w:hAnsi="Consolas"/>
          <w:color w:val="17365D"/>
          <w:sz w:val="17"/>
        </w:rPr>
        <w:t>POST /api/campaigns/{id}/creatives</w:t>
      </w:r>
      <w:r>
        <w:rPr>
          <w:rFonts w:ascii="Arial" w:hAnsi="Arial"/>
          <w:color w:val="000000"/>
          <w:sz w:val="20"/>
        </w:rPr>
        <w:t xml:space="preserve">, </w:t>
      </w:r>
      <w:r>
        <w:rPr>
          <w:rFonts w:ascii="Consolas" w:hAnsi="Consolas"/>
          <w:color w:val="17365D"/>
          <w:sz w:val="17"/>
        </w:rPr>
        <w:t>PUT /api/campaigns/{id}/targeting</w:t>
      </w:r>
      <w:r>
        <w:rPr>
          <w:rFonts w:ascii="Arial" w:hAnsi="Arial"/>
          <w:color w:val="000000"/>
          <w:sz w:val="20"/>
        </w:rPr>
        <w:t xml:space="preserve">, </w:t>
      </w:r>
      <w:r>
        <w:rPr>
          <w:rFonts w:ascii="Consolas" w:hAnsi="Consolas"/>
          <w:color w:val="17365D"/>
          <w:sz w:val="17"/>
        </w:rPr>
        <w:t>POST /api/campaigns/{id}/submit</w:t>
      </w:r>
      <w:r>
        <w:rPr>
          <w:rFonts w:ascii="Arial" w:hAnsi="Arial"/>
          <w:color w:val="000000"/>
          <w:sz w:val="20"/>
        </w:rPr>
        <w:t>.</w:t>
      </w:r>
    </w:p>
    <w:p>
      <w:r>
        <w:rPr>
          <w:rFonts w:ascii="Arial" w:hAnsi="Arial"/>
          <w:color w:val="000000"/>
          <w:sz w:val="20"/>
        </w:rPr>
        <w:t>Acceptance: Business chỉ dùng contract thuộc company của mình; campaign/creative sau submit không sửa tại chỗ, correction tạo version mới.</w:t>
      </w:r>
    </w:p>
    <w:p>
      <w:pPr>
        <w:pStyle w:val="Heading3"/>
      </w:pPr>
      <w:r>
        <w:t xml:space="preserve"> BF-07 Review and Activate Advertising Campaign</w:t>
      </w:r>
    </w:p>
    <w:p>
      <w:pPr>
        <w:keepNext/>
        <w:spacing w:after="40"/>
        <w:jc w:val="center"/>
      </w:pPr>
      <w:r>
        <w:drawing>
          <wp:inline xmlns:a="http://schemas.openxmlformats.org/drawingml/2006/main" xmlns:pic="http://schemas.openxmlformats.org/drawingml/2006/picture">
            <wp:extent cx="6446520" cy="5801868"/>
            <wp:docPr id="9" name="Picture 9"/>
            <wp:cNvGraphicFramePr>
              <a:graphicFrameLocks noChangeAspect="1"/>
            </wp:cNvGraphicFramePr>
            <a:graphic>
              <a:graphicData uri="http://schemas.openxmlformats.org/drawingml/2006/picture">
                <pic:pic>
                  <pic:nvPicPr>
                    <pic:cNvPr id="0" name="BF-07.png"/>
                    <pic:cNvPicPr/>
                  </pic:nvPicPr>
                  <pic:blipFill>
                    <a:blip r:embed="rId17"/>
                    <a:stretch>
                      <a:fillRect/>
                    </a:stretch>
                  </pic:blipFill>
                  <pic:spPr>
                    <a:xfrm>
                      <a:off x="0" y="0"/>
                      <a:ext cx="6446520" cy="5801868"/>
                    </a:xfrm>
                    <a:prstGeom prst="rect"/>
                  </pic:spPr>
                </pic:pic>
              </a:graphicData>
            </a:graphic>
          </wp:inline>
        </w:drawing>
      </w:r>
    </w:p>
    <w:p>
      <w:pPr>
        <w:spacing w:after="160"/>
        <w:jc w:val="center"/>
      </w:pPr>
      <w:r>
        <w:rPr>
          <w:rFonts w:ascii="Arial" w:hAnsi="Arial"/>
          <w:b/>
          <w:color w:val="4B5563"/>
          <w:sz w:val="17"/>
        </w:rPr>
        <w:t>Figure BF-07  Review and Activate Advertising Campaign</w:t>
      </w:r>
    </w:p>
    <w:p>
      <w:r>
        <w:rPr>
          <w:rFonts w:ascii="Arial" w:hAnsi="Arial"/>
          <w:color w:val="000000"/>
          <w:sz w:val="20"/>
        </w:rPr>
        <w:t xml:space="preserve">API tối thiểu: </w:t>
      </w:r>
      <w:r>
        <w:rPr>
          <w:rFonts w:ascii="Consolas" w:hAnsi="Consolas"/>
          <w:color w:val="17365D"/>
          <w:sz w:val="17"/>
        </w:rPr>
        <w:t>GET /api/ad-manager/campaign-reviews</w:t>
      </w:r>
      <w:r>
        <w:rPr>
          <w:rFonts w:ascii="Arial" w:hAnsi="Arial"/>
          <w:color w:val="000000"/>
          <w:sz w:val="20"/>
        </w:rPr>
        <w:t xml:space="preserve">, </w:t>
      </w:r>
      <w:r>
        <w:rPr>
          <w:rFonts w:ascii="Consolas" w:hAnsi="Consolas"/>
          <w:color w:val="17365D"/>
          <w:sz w:val="17"/>
        </w:rPr>
        <w:t>GET /api/ad-manager/campaign-reviews/{id}</w:t>
      </w:r>
      <w:r>
        <w:rPr>
          <w:rFonts w:ascii="Arial" w:hAnsi="Arial"/>
          <w:color w:val="000000"/>
          <w:sz w:val="20"/>
        </w:rPr>
        <w:t xml:space="preserve">, </w:t>
      </w:r>
      <w:r>
        <w:rPr>
          <w:rFonts w:ascii="Consolas" w:hAnsi="Consolas"/>
          <w:color w:val="17365D"/>
          <w:sz w:val="17"/>
        </w:rPr>
        <w:t>POST /api/ad-manager/campaign-reviews/{id}/campaign-decision</w:t>
      </w:r>
      <w:r>
        <w:rPr>
          <w:rFonts w:ascii="Arial" w:hAnsi="Arial"/>
          <w:color w:val="000000"/>
          <w:sz w:val="20"/>
        </w:rPr>
        <w:t xml:space="preserve">, </w:t>
      </w:r>
      <w:r>
        <w:rPr>
          <w:rFonts w:ascii="Consolas" w:hAnsi="Consolas"/>
          <w:color w:val="17365D"/>
          <w:sz w:val="17"/>
        </w:rPr>
        <w:t>POST /api/ad-manager/campaign-reviews/{id}/creative-decision</w:t>
      </w:r>
      <w:r>
        <w:rPr>
          <w:rFonts w:ascii="Arial" w:hAnsi="Arial"/>
          <w:color w:val="000000"/>
          <w:sz w:val="20"/>
        </w:rPr>
        <w:t>.</w:t>
      </w:r>
    </w:p>
    <w:p>
      <w:r>
        <w:rPr>
          <w:rFonts w:ascii="Arial" w:hAnsi="Arial"/>
          <w:color w:val="000000"/>
          <w:sz w:val="20"/>
        </w:rPr>
        <w:t>Acceptance: chỉ creative version được duyệt mới được phân phối; campaign chỉ Scheduled khi cả campaign review và creative review APPROVED.</w:t>
      </w:r>
    </w:p>
    <w:p>
      <w:pPr>
        <w:pStyle w:val="Heading3"/>
      </w:pPr>
      <w:r>
        <w:t xml:space="preserve"> BF-08 Deliver Ads and Monitor Campaign Performance</w:t>
      </w:r>
    </w:p>
    <w:p>
      <w:pPr>
        <w:keepNext/>
        <w:spacing w:after="40"/>
        <w:jc w:val="center"/>
      </w:pPr>
      <w:r>
        <w:drawing>
          <wp:inline xmlns:a="http://schemas.openxmlformats.org/drawingml/2006/main" xmlns:pic="http://schemas.openxmlformats.org/drawingml/2006/picture">
            <wp:extent cx="6446520" cy="6300008"/>
            <wp:docPr id="10" name="Picture 10"/>
            <wp:cNvGraphicFramePr>
              <a:graphicFrameLocks noChangeAspect="1"/>
            </wp:cNvGraphicFramePr>
            <a:graphic>
              <a:graphicData uri="http://schemas.openxmlformats.org/drawingml/2006/picture">
                <pic:pic>
                  <pic:nvPicPr>
                    <pic:cNvPr id="0" name="BF-08.png"/>
                    <pic:cNvPicPr/>
                  </pic:nvPicPr>
                  <pic:blipFill>
                    <a:blip r:embed="rId18"/>
                    <a:stretch>
                      <a:fillRect/>
                    </a:stretch>
                  </pic:blipFill>
                  <pic:spPr>
                    <a:xfrm>
                      <a:off x="0" y="0"/>
                      <a:ext cx="6446520" cy="6300008"/>
                    </a:xfrm>
                    <a:prstGeom prst="rect"/>
                  </pic:spPr>
                </pic:pic>
              </a:graphicData>
            </a:graphic>
          </wp:inline>
        </w:drawing>
      </w:r>
    </w:p>
    <w:p>
      <w:pPr>
        <w:spacing w:after="160"/>
        <w:jc w:val="center"/>
      </w:pPr>
      <w:r>
        <w:rPr>
          <w:rFonts w:ascii="Arial" w:hAnsi="Arial"/>
          <w:b/>
          <w:color w:val="4B5563"/>
          <w:sz w:val="17"/>
        </w:rPr>
        <w:t>Figure BF-08  Deliver Ads and Monitor Campaign Performance</w:t>
      </w:r>
    </w:p>
    <w:p>
      <w:r>
        <w:rPr>
          <w:rFonts w:ascii="Arial" w:hAnsi="Arial"/>
          <w:color w:val="000000"/>
          <w:sz w:val="20"/>
        </w:rPr>
        <w:t xml:space="preserve">API tối thiểu: </w:t>
      </w:r>
      <w:r>
        <w:rPr>
          <w:rFonts w:ascii="Consolas" w:hAnsi="Consolas"/>
          <w:color w:val="17365D"/>
          <w:sz w:val="17"/>
        </w:rPr>
        <w:t>GET /api/ad-delivery/slots/{positionCode}</w:t>
      </w:r>
      <w:r>
        <w:rPr>
          <w:rFonts w:ascii="Arial" w:hAnsi="Arial"/>
          <w:color w:val="000000"/>
          <w:sz w:val="20"/>
        </w:rPr>
        <w:t xml:space="preserve">, </w:t>
      </w:r>
      <w:r>
        <w:rPr>
          <w:rFonts w:ascii="Consolas" w:hAnsi="Consolas"/>
          <w:color w:val="17365D"/>
          <w:sz w:val="17"/>
        </w:rPr>
        <w:t>POST /api/ad-events/impressions</w:t>
      </w:r>
      <w:r>
        <w:rPr>
          <w:rFonts w:ascii="Arial" w:hAnsi="Arial"/>
          <w:color w:val="000000"/>
          <w:sz w:val="20"/>
        </w:rPr>
        <w:t xml:space="preserve">, </w:t>
      </w:r>
      <w:r>
        <w:rPr>
          <w:rFonts w:ascii="Consolas" w:hAnsi="Consolas"/>
          <w:color w:val="17365D"/>
          <w:sz w:val="17"/>
        </w:rPr>
        <w:t>GET /api/ad-click/{creativeId}</w:t>
      </w:r>
      <w:r>
        <w:rPr>
          <w:rFonts w:ascii="Arial" w:hAnsi="Arial"/>
          <w:color w:val="000000"/>
          <w:sz w:val="20"/>
        </w:rPr>
        <w:t xml:space="preserve">, </w:t>
      </w:r>
      <w:r>
        <w:rPr>
          <w:rFonts w:ascii="Consolas" w:hAnsi="Consolas"/>
          <w:color w:val="17365D"/>
          <w:sz w:val="17"/>
        </w:rPr>
        <w:t>GET /api/business/campaigns/{id}/metrics</w:t>
      </w:r>
      <w:r>
        <w:rPr>
          <w:rFonts w:ascii="Arial" w:hAnsi="Arial"/>
          <w:color w:val="000000"/>
          <w:sz w:val="20"/>
        </w:rPr>
        <w:t xml:space="preserve">, </w:t>
      </w:r>
      <w:r>
        <w:rPr>
          <w:rFonts w:ascii="Consolas" w:hAnsi="Consolas"/>
          <w:color w:val="17365D"/>
          <w:sz w:val="17"/>
        </w:rPr>
        <w:t>GET /api/ad-manager/campaigns/{id}/metrics</w:t>
      </w:r>
      <w:r>
        <w:rPr>
          <w:rFonts w:ascii="Arial" w:hAnsi="Arial"/>
          <w:color w:val="000000"/>
          <w:sz w:val="20"/>
        </w:rPr>
        <w:t>.</w:t>
      </w:r>
    </w:p>
    <w:p>
      <w:r>
        <w:rPr>
          <w:rFonts w:ascii="Arial" w:hAnsi="Arial"/>
          <w:color w:val="000000"/>
          <w:sz w:val="20"/>
        </w:rPr>
        <w:t>Acceptance: ad selection chỉ lấy campaign ACTIVE, contract ACTIVE, đúng slot/time/targeting và chưa hết quota; click redirect dùng target URL đã được duyệt; raw event được deduplicate trước khi tăng metric.</w:t>
      </w:r>
    </w:p>
    <w:p>
      <w:pPr>
        <w:pStyle w:val="Heading1"/>
      </w:pPr>
      <w:r>
        <w:t>6. Kế hoạch backend theo package</w:t>
      </w:r>
    </w:p>
    <w:p>
      <w:r>
        <w:rPr>
          <w:rFonts w:ascii="Arial" w:hAnsi="Arial"/>
          <w:color w:val="000000"/>
          <w:sz w:val="20"/>
        </w:rPr>
        <w:t>Mỗi feature dùng cùng cấu trúc con trong các package hiện có:</w:t>
      </w:r>
    </w:p>
    <w:p>
      <w:pPr>
        <w:spacing w:after="0"/>
        <w:ind w:left="317" w:right="173"/>
        <w:shd w:fill="F3F4F6"/>
      </w:pPr>
      <w:r>
        <w:rPr>
          <w:rFonts w:ascii="Consolas" w:hAnsi="Consolas"/>
          <w:color w:val="1F2937"/>
          <w:sz w:val="14"/>
        </w:rPr>
        <w:t>controller/{news,premium,partnership,contract,campaign,delivery,admin}</w:t>
      </w:r>
    </w:p>
    <w:p>
      <w:pPr>
        <w:spacing w:after="0"/>
        <w:ind w:left="317" w:right="173"/>
        <w:shd w:fill="F3F4F6"/>
      </w:pPr>
      <w:r>
        <w:rPr>
          <w:rFonts w:ascii="Consolas" w:hAnsi="Consolas"/>
          <w:color w:val="1F2937"/>
          <w:sz w:val="14"/>
        </w:rPr>
        <w:t>service/{news,premium,partnership,contract,campaign,delivery,admin}</w:t>
      </w:r>
    </w:p>
    <w:p>
      <w:pPr>
        <w:spacing w:after="0"/>
        <w:ind w:left="317" w:right="173"/>
        <w:shd w:fill="F3F4F6"/>
      </w:pPr>
      <w:r>
        <w:rPr>
          <w:rFonts w:ascii="Consolas" w:hAnsi="Consolas"/>
          <w:color w:val="1F2937"/>
          <w:sz w:val="14"/>
        </w:rPr>
        <w:t>repository/</w:t>
      </w:r>
    </w:p>
    <w:p>
      <w:pPr>
        <w:spacing w:after="0"/>
        <w:ind w:left="317" w:right="173"/>
        <w:shd w:fill="F3F4F6"/>
      </w:pPr>
      <w:r>
        <w:rPr>
          <w:rFonts w:ascii="Consolas" w:hAnsi="Consolas"/>
          <w:color w:val="1F2937"/>
          <w:sz w:val="14"/>
        </w:rPr>
        <w:t>entity/</w:t>
      </w:r>
    </w:p>
    <w:p>
      <w:pPr>
        <w:spacing w:after="0"/>
        <w:ind w:left="317" w:right="173"/>
        <w:shd w:fill="F3F4F6"/>
      </w:pPr>
      <w:r>
        <w:rPr>
          <w:rFonts w:ascii="Consolas" w:hAnsi="Consolas"/>
          <w:color w:val="1F2937"/>
          <w:sz w:val="14"/>
        </w:rPr>
        <w:t>dto/{auth,news,premium,partnership,contract,campaign,delivery,admin}</w:t>
      </w:r>
    </w:p>
    <w:p>
      <w:pPr>
        <w:spacing w:after="0"/>
        <w:ind w:left="317" w:right="173"/>
        <w:shd w:fill="F3F4F6"/>
      </w:pPr>
      <w:r>
        <w:rPr>
          <w:rFonts w:ascii="Consolas" w:hAnsi="Consolas"/>
          <w:color w:val="1F2937"/>
          <w:sz w:val="14"/>
        </w:rPr>
        <w:t>integration/{payment,email,storage}</w:t>
      </w:r>
    </w:p>
    <w:p>
      <w:pPr>
        <w:spacing w:after="0"/>
        <w:ind w:left="317" w:right="173"/>
        <w:shd w:fill="F3F4F6"/>
      </w:pPr>
      <w:r>
        <w:rPr>
          <w:rFonts w:ascii="Consolas" w:hAnsi="Consolas"/>
          <w:color w:val="1F2937"/>
          <w:sz w:val="14"/>
        </w:rPr>
        <w:t>scheduler/</w:t>
      </w:r>
    </w:p>
    <w:p>
      <w:pPr>
        <w:spacing w:after="20"/>
      </w:pPr>
    </w:p>
    <w:p>
      <w:r>
        <w:rPr>
          <w:rFonts w:ascii="Arial" w:hAnsi="Arial"/>
          <w:color w:val="000000"/>
          <w:sz w:val="20"/>
        </w:rPr>
        <w:t>Không tạo Controller gọi trực tiếp Repository. Không đặt business rule trong React, util hoặc scheduler.</w:t>
      </w:r>
    </w:p>
    <w:p>
      <w:pPr>
        <w:pStyle w:val="Heading1"/>
      </w:pPr>
      <w:r>
        <w:t>7. Kế hoạch test và Definition of Done</w:t>
      </w:r>
    </w:p>
    <w:p>
      <w:r>
        <w:rPr>
          <w:rFonts w:ascii="Arial" w:hAnsi="Arial"/>
          <w:color w:val="000000"/>
          <w:sz w:val="20"/>
        </w:rPr>
        <w:t>Mỗi UC phải có:</w:t>
      </w:r>
    </w:p>
    <w:p>
      <w:pPr>
        <w:pStyle w:val="ListBullet"/>
      </w:pPr>
      <w:r>
        <w:rPr>
          <w:rFonts w:ascii="Arial" w:hAnsi="Arial"/>
          <w:color w:val="000000"/>
          <w:sz w:val="20"/>
        </w:rPr>
        <w:t>Unit test cho validation/state transition quan trọng.</w:t>
      </w:r>
    </w:p>
    <w:p>
      <w:pPr>
        <w:pStyle w:val="ListBullet"/>
      </w:pPr>
      <w:r>
        <w:rPr>
          <w:rFonts w:ascii="Arial" w:hAnsi="Arial"/>
          <w:color w:val="000000"/>
          <w:sz w:val="20"/>
        </w:rPr>
        <w:t>Repository/integration test cho query ownership, availability và entitlement.</w:t>
      </w:r>
    </w:p>
    <w:p>
      <w:pPr>
        <w:pStyle w:val="ListBullet"/>
      </w:pPr>
      <w:r>
        <w:rPr>
          <w:rFonts w:ascii="Arial" w:hAnsi="Arial"/>
          <w:color w:val="000000"/>
          <w:sz w:val="20"/>
        </w:rPr>
        <w:t>Controller test cho 200/201, 400, 401, 403, 404, 409 và 422 tương ứng.</w:t>
      </w:r>
    </w:p>
    <w:p>
      <w:pPr>
        <w:pStyle w:val="ListBullet"/>
      </w:pPr>
      <w:r>
        <w:rPr>
          <w:rFonts w:ascii="Arial" w:hAnsi="Arial"/>
          <w:color w:val="000000"/>
          <w:sz w:val="20"/>
        </w:rPr>
        <w:t>E2E happy path của BF và ít nhất một alternative flow quan trọng.</w:t>
      </w:r>
    </w:p>
    <w:p>
      <w:pPr>
        <w:pStyle w:val="ListBullet"/>
      </w:pPr>
      <w:r>
        <w:rPr>
          <w:rFonts w:ascii="Arial" w:hAnsi="Arial"/>
          <w:color w:val="000000"/>
          <w:sz w:val="20"/>
        </w:rPr>
        <w:t>Kiểm tra audit record với quyết định review, payment, role change và pause/resume.</w:t>
      </w:r>
    </w:p>
    <w:p>
      <w:pPr>
        <w:pStyle w:val="ListBullet"/>
      </w:pPr>
      <w:r>
        <w:rPr>
          <w:rFonts w:ascii="Arial" w:hAnsi="Arial"/>
          <w:color w:val="000000"/>
          <w:sz w:val="20"/>
        </w:rPr>
        <w:t>Không có secret trong Git; frontend build và backend test phải xanh.</w:t>
      </w:r>
    </w:p>
    <w:p>
      <w:r>
        <w:rPr>
          <w:rFonts w:ascii="Arial" w:hAnsi="Arial"/>
          <w:color w:val="000000"/>
          <w:sz w:val="20"/>
        </w:rPr>
        <w:t>Một Main Flow chỉ được đánh dấu Done khi UI, API, DB, permission, error state, notification/audit và acceptance test cùng hoàn thành.</w:t>
      </w:r>
    </w:p>
    <w:p>
      <w:pPr>
        <w:pStyle w:val="Heading1"/>
      </w:pPr>
      <w:r>
        <w:t>8. Thứ tự merge khuyến nghị</w:t>
      </w:r>
    </w:p>
    <w:p>
      <w:pPr>
        <w:pStyle w:val="ListNumber"/>
      </w:pPr>
      <w:r>
        <w:rPr>
          <w:rFonts w:ascii="Arial" w:hAnsi="Arial"/>
          <w:color w:val="000000"/>
          <w:sz w:val="20"/>
        </w:rPr>
        <w:t>Foundation + migration + auth.</w:t>
      </w:r>
    </w:p>
    <w:p>
      <w:pPr>
        <w:pStyle w:val="ListNumber"/>
      </w:pPr>
      <w:r>
        <w:rPr>
          <w:rFonts w:ascii="Arial" w:hAnsi="Arial"/>
          <w:color w:val="000000"/>
          <w:sz w:val="20"/>
        </w:rPr>
        <w:t>API convention, OpenAPI, Fake Adapter và test foundation.</w:t>
      </w:r>
    </w:p>
    <w:p>
      <w:pPr>
        <w:pStyle w:val="ListNumber"/>
      </w:pPr>
      <w:r>
        <w:rPr>
          <w:rFonts w:ascii="Arial" w:hAnsi="Arial"/>
          <w:color w:val="000000"/>
          <w:sz w:val="20"/>
        </w:rPr>
        <w:t>Master data/seed cần cho nghiệp vụ: articles, subscription packages, ad slots, B2B packages và pricing.</w:t>
      </w:r>
    </w:p>
    <w:p>
      <w:pPr>
        <w:pStyle w:val="ListNumber"/>
      </w:pPr>
      <w:r>
        <w:rPr>
          <w:rFonts w:ascii="Arial" w:hAnsi="Arial"/>
          <w:color w:val="000000"/>
          <w:sz w:val="20"/>
        </w:rPr>
        <w:t>BF-01 và BF-03 để tạo entitlement/company.</w:t>
      </w:r>
    </w:p>
    <w:p>
      <w:pPr>
        <w:pStyle w:val="ListNumber"/>
      </w:pPr>
      <w:r>
        <w:rPr>
          <w:rFonts w:ascii="Arial" w:hAnsi="Arial"/>
          <w:color w:val="000000"/>
          <w:sz w:val="20"/>
        </w:rPr>
        <w:t>BF-02 và BF-04.</w:t>
      </w:r>
    </w:p>
    <w:p>
      <w:pPr>
        <w:pStyle w:val="ListNumber"/>
      </w:pPr>
      <w:r>
        <w:rPr>
          <w:rFonts w:ascii="Arial" w:hAnsi="Arial"/>
          <w:color w:val="000000"/>
          <w:sz w:val="20"/>
        </w:rPr>
        <w:t>BF-05.</w:t>
      </w:r>
    </w:p>
    <w:p>
      <w:pPr>
        <w:pStyle w:val="ListNumber"/>
      </w:pPr>
      <w:r>
        <w:rPr>
          <w:rFonts w:ascii="Arial" w:hAnsi="Arial"/>
          <w:color w:val="000000"/>
          <w:sz w:val="20"/>
        </w:rPr>
        <w:t>BF-06.</w:t>
      </w:r>
    </w:p>
    <w:p>
      <w:pPr>
        <w:pStyle w:val="ListNumber"/>
      </w:pPr>
      <w:r>
        <w:rPr>
          <w:rFonts w:ascii="Arial" w:hAnsi="Arial"/>
          <w:color w:val="000000"/>
          <w:sz w:val="20"/>
        </w:rPr>
        <w:t>BF-07.</w:t>
      </w:r>
    </w:p>
    <w:p>
      <w:pPr>
        <w:pStyle w:val="ListNumber"/>
      </w:pPr>
      <w:r>
        <w:rPr>
          <w:rFonts w:ascii="Arial" w:hAnsi="Arial"/>
          <w:color w:val="000000"/>
          <w:sz w:val="20"/>
        </w:rPr>
        <w:t>BF-08.</w:t>
      </w:r>
    </w:p>
    <w:p>
      <w:pPr>
        <w:pStyle w:val="ListNumber"/>
      </w:pPr>
      <w:r>
        <w:rPr>
          <w:rFonts w:ascii="Arial" w:hAnsi="Arial"/>
          <w:color w:val="000000"/>
          <w:sz w:val="20"/>
        </w:rPr>
        <w:t>Hoàn thiện Admin UI, hardening, CI và deployment. API/seed quản trị cần cho nghiệp vụ không được chờ đến bước này.</w:t>
      </w:r>
    </w:p>
    <w:p>
      <w:r>
        <w:rPr>
          <w:rFonts w:ascii="Arial" w:hAnsi="Arial"/>
          <w:color w:val="000000"/>
          <w:sz w:val="20"/>
        </w:rPr>
        <w:t>Không cần đợi toàn bộ flow trước mới làm UI: frontend có thể dùng mock DTO đã chốt, còn backend dùng integration fake adapter. Tuy nhiên không merge một endpoint nếu request/response contract chưa được ghi trong API docs.</w:t>
      </w:r>
    </w:p>
    <w:p>
      <w:pPr>
        <w:pStyle w:val="Heading1"/>
      </w:pPr>
      <w:r>
        <w:t>9. Git branch và Pull Request</w:t>
      </w:r>
    </w:p>
    <w:p>
      <w:r>
        <w:rPr>
          <w:rFonts w:ascii="Arial" w:hAnsi="Arial"/>
          <w:color w:val="000000"/>
          <w:sz w:val="20"/>
        </w:rPr>
        <w:t>Branch được đặt theo chức năng, không đặt cố định theo tên thành viên:</w:t>
      </w:r>
    </w:p>
    <w:p>
      <w:pPr>
        <w:spacing w:after="0"/>
        <w:ind w:left="317" w:right="173"/>
        <w:shd w:fill="F3F4F6"/>
      </w:pPr>
      <w:r>
        <w:rPr>
          <w:rFonts w:ascii="Consolas" w:hAnsi="Consolas"/>
          <w:color w:val="1F2937"/>
          <w:sz w:val="14"/>
        </w:rPr>
        <w:t>develop</w:t>
      </w:r>
    </w:p>
    <w:p>
      <w:pPr>
        <w:spacing w:after="0"/>
        <w:ind w:left="317" w:right="173"/>
        <w:shd w:fill="F3F4F6"/>
      </w:pPr>
      <w:r>
        <w:rPr>
          <w:rFonts w:ascii="Consolas" w:hAnsi="Consolas"/>
          <w:color w:val="1F2937"/>
          <w:sz w:val="14"/>
        </w:rPr>
        <w:t>├── feature/bf01-premium-subscription</w:t>
      </w:r>
    </w:p>
    <w:p>
      <w:pPr>
        <w:spacing w:after="0"/>
        <w:ind w:left="317" w:right="173"/>
        <w:shd w:fill="F3F4F6"/>
      </w:pPr>
      <w:r>
        <w:rPr>
          <w:rFonts w:ascii="Consolas" w:hAnsi="Consolas"/>
          <w:color w:val="1F2937"/>
          <w:sz w:val="14"/>
        </w:rPr>
        <w:t>├── feature/bf02-premium-access</w:t>
      </w:r>
    </w:p>
    <w:p>
      <w:pPr>
        <w:spacing w:after="0"/>
        <w:ind w:left="317" w:right="173"/>
        <w:shd w:fill="F3F4F6"/>
      </w:pPr>
      <w:r>
        <w:rPr>
          <w:rFonts w:ascii="Consolas" w:hAnsi="Consolas"/>
          <w:color w:val="1F2937"/>
          <w:sz w:val="14"/>
        </w:rPr>
        <w:t>├── feature/bf03-partnership-application</w:t>
      </w:r>
    </w:p>
    <w:p>
      <w:pPr>
        <w:spacing w:after="0"/>
        <w:ind w:left="317" w:right="173"/>
        <w:shd w:fill="F3F4F6"/>
      </w:pPr>
      <w:r>
        <w:rPr>
          <w:rFonts w:ascii="Consolas" w:hAnsi="Consolas"/>
          <w:color w:val="1F2937"/>
          <w:sz w:val="14"/>
        </w:rPr>
        <w:t>├── feature/bf04-partnership-review</w:t>
      </w:r>
    </w:p>
    <w:p>
      <w:pPr>
        <w:spacing w:after="0"/>
        <w:ind w:left="317" w:right="173"/>
        <w:shd w:fill="F3F4F6"/>
      </w:pPr>
      <w:r>
        <w:rPr>
          <w:rFonts w:ascii="Consolas" w:hAnsi="Consolas"/>
          <w:color w:val="1F2937"/>
          <w:sz w:val="14"/>
        </w:rPr>
        <w:t>├── feature/bf05-booking-contract</w:t>
      </w:r>
    </w:p>
    <w:p>
      <w:pPr>
        <w:spacing w:after="0"/>
        <w:ind w:left="317" w:right="173"/>
        <w:shd w:fill="F3F4F6"/>
      </w:pPr>
      <w:r>
        <w:rPr>
          <w:rFonts w:ascii="Consolas" w:hAnsi="Consolas"/>
          <w:color w:val="1F2937"/>
          <w:sz w:val="14"/>
        </w:rPr>
        <w:t>├── feature/bf06-campaign-creative</w:t>
      </w:r>
    </w:p>
    <w:p>
      <w:pPr>
        <w:spacing w:after="0"/>
        <w:ind w:left="317" w:right="173"/>
        <w:shd w:fill="F3F4F6"/>
      </w:pPr>
      <w:r>
        <w:rPr>
          <w:rFonts w:ascii="Consolas" w:hAnsi="Consolas"/>
          <w:color w:val="1F2937"/>
          <w:sz w:val="14"/>
        </w:rPr>
        <w:t>├── feature/bf07-campaign-review</w:t>
      </w:r>
    </w:p>
    <w:p>
      <w:pPr>
        <w:spacing w:after="0"/>
        <w:ind w:left="317" w:right="173"/>
        <w:shd w:fill="F3F4F6"/>
      </w:pPr>
      <w:r>
        <w:rPr>
          <w:rFonts w:ascii="Consolas" w:hAnsi="Consolas"/>
          <w:color w:val="1F2937"/>
          <w:sz w:val="14"/>
        </w:rPr>
        <w:t>└── feature/bf08-delivery-analytics</w:t>
      </w:r>
    </w:p>
    <w:p>
      <w:pPr>
        <w:spacing w:after="20"/>
      </w:pPr>
    </w:p>
    <w:p>
      <w:r>
        <w:rPr>
          <w:rFonts w:ascii="Arial" w:hAnsi="Arial"/>
          <w:color w:val="000000"/>
          <w:sz w:val="20"/>
        </w:rPr>
        <w:t>Mỗi Pull Request phải ghi BF/UC liên quan, API thay đổi, migration mới nếu có, ảnh màn hình, test đã chạy, state transition và alternative flow đã xử lý. Không merge code làm thay đổi request/response hoặc schema nhưng chưa cập nhật API docs/Flyway migration.</w:t>
      </w:r>
    </w:p>
    <w:sectPr w:rsidR="00FC693F" w:rsidRPr="0006063C" w:rsidSect="00034616">
      <w:footerReference w:type="default" r:id="rId1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Group 5  Coding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