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before="156" w:line="360" w:lineRule="auto"/>
        <w:ind w:right="0" w:rightChars="0"/>
        <w:jc w:val="center"/>
        <w:rPr>
          <w:rFonts w:hint="eastAsia" w:asciiTheme="minorEastAsia" w:hAnsiTheme="minorEastAsia" w:eastAsiaTheme="minorEastAsia" w:cstheme="minorEastAsia"/>
          <w:b/>
          <w:sz w:val="24"/>
          <w:szCs w:val="24"/>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val="0"/>
          <w:bCs/>
          <w:sz w:val="36"/>
          <w:szCs w:val="36"/>
        </w:rPr>
      </w:pPr>
    </w:p>
    <w:p>
      <w:pPr>
        <w:pageBreakBefore w:val="0"/>
        <w:kinsoku/>
        <w:wordWrap/>
        <w:overflowPunct/>
        <w:topLinePunct w:val="0"/>
        <w:autoSpaceDE/>
        <w:autoSpaceDN/>
        <w:bidi w:val="0"/>
        <w:adjustRightInd/>
        <w:snapToGrid/>
        <w:spacing w:line="360" w:lineRule="auto"/>
        <w:ind w:right="0" w:rightChars="0"/>
        <w:jc w:val="center"/>
        <w:textAlignment w:val="auto"/>
        <w:rPr>
          <w:rFonts w:hint="eastAsia" w:asciiTheme="minorEastAsia" w:hAnsiTheme="minorEastAsia" w:eastAsiaTheme="minorEastAsia" w:cstheme="minorEastAsia"/>
          <w:b w:val="0"/>
          <w:bCs/>
          <w:sz w:val="48"/>
          <w:szCs w:val="48"/>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val="0"/>
          <w:sz w:val="44"/>
          <w:szCs w:val="44"/>
        </w:rPr>
      </w:pPr>
      <w:r>
        <w:rPr>
          <w:rFonts w:hint="eastAsia" w:asciiTheme="minorEastAsia" w:hAnsiTheme="minorEastAsia" w:eastAsiaTheme="minorEastAsia" w:cstheme="minorEastAsia"/>
          <w:b/>
          <w:bCs w:val="0"/>
          <w:sz w:val="44"/>
          <w:szCs w:val="44"/>
        </w:rPr>
        <w:t>广州银行信用卡外呼系统项目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asciiTheme="minorEastAsia" w:hAnsiTheme="minorEastAsia" w:eastAsiaTheme="minorEastAsia" w:cstheme="minorEastAsia"/>
          <w:b/>
          <w:bCs w:val="0"/>
          <w:sz w:val="44"/>
          <w:szCs w:val="44"/>
          <w:lang w:val="en-US" w:eastAsia="zh-CN"/>
        </w:rPr>
      </w:pPr>
      <w:r>
        <w:rPr>
          <w:rFonts w:hint="eastAsia" w:asciiTheme="minorEastAsia" w:hAnsiTheme="minorEastAsia" w:eastAsiaTheme="minorEastAsia" w:cstheme="minorEastAsia"/>
          <w:b/>
          <w:bCs w:val="0"/>
          <w:sz w:val="44"/>
          <w:szCs w:val="44"/>
          <w:lang w:val="en-US" w:eastAsia="zh-CN"/>
        </w:rPr>
        <w:t>测试报告</w:t>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sectPr>
          <w:pgSz w:w="11906" w:h="16838"/>
          <w:pgMar w:top="851" w:right="1077" w:bottom="851" w:left="1077" w:header="851" w:footer="992" w:gutter="0"/>
          <w:cols w:space="720" w:num="1"/>
          <w:docGrid w:type="lines" w:linePitch="312" w:charSpace="0"/>
        </w:sectPr>
      </w:pPr>
    </w:p>
    <w:p>
      <w:pPr>
        <w:pStyle w:val="19"/>
        <w:pageBreakBefore w:val="0"/>
        <w:kinsoku/>
        <w:wordWrap/>
        <w:overflowPunct/>
        <w:topLinePunct w:val="0"/>
        <w:autoSpaceDE/>
        <w:autoSpaceDN/>
        <w:bidi w:val="0"/>
        <w:adjustRightInd/>
        <w:snapToGrid/>
        <w:spacing w:line="360" w:lineRule="auto"/>
        <w:ind w:right="0" w:rightChars="0"/>
        <w:jc w:val="distribute"/>
        <w:rPr>
          <w:rFonts w:hint="eastAsia" w:asciiTheme="minorEastAsia" w:hAnsiTheme="minorEastAsia" w:eastAsiaTheme="minorEastAsia" w:cstheme="minorEastAsia"/>
          <w:b/>
        </w:rPr>
      </w:pPr>
    </w:p>
    <w:p>
      <w:pPr>
        <w:pStyle w:val="31"/>
        <w:pageBreakBefore w:val="0"/>
        <w:kinsoku/>
        <w:wordWrap/>
        <w:overflowPunct/>
        <w:topLinePunct w:val="0"/>
        <w:autoSpaceDE/>
        <w:autoSpaceDN/>
        <w:bidi w:val="0"/>
        <w:adjustRightInd/>
        <w:snapToGrid/>
        <w:spacing w:beforeLines="50" w:line="360" w:lineRule="auto"/>
        <w:ind w:right="0" w:rightChars="0"/>
        <w:jc w:val="center"/>
        <w:rPr>
          <w:rFonts w:hint="eastAsia" w:asciiTheme="minorEastAsia" w:hAnsiTheme="minorEastAsia" w:eastAsiaTheme="minorEastAsia" w:cstheme="minorEastAsia"/>
          <w:b/>
          <w:bCs w:val="0"/>
          <w:color w:val="2E74B5"/>
          <w:kern w:val="0"/>
          <w:sz w:val="24"/>
          <w:szCs w:val="24"/>
          <w:lang w:val="en-US" w:eastAsia="zh-CN" w:bidi="ar-SA"/>
        </w:rPr>
      </w:pPr>
      <w:bookmarkStart w:id="0" w:name="_Toc24979"/>
      <w:bookmarkStart w:id="1" w:name="_Toc18460"/>
      <w:r>
        <w:rPr>
          <w:rFonts w:hint="eastAsia" w:asciiTheme="minorEastAsia" w:hAnsiTheme="minorEastAsia" w:eastAsiaTheme="minorEastAsia" w:cstheme="minorEastAsia"/>
          <w:b/>
          <w:color w:val="auto"/>
          <w:sz w:val="24"/>
          <w:szCs w:val="24"/>
          <w:lang w:val="zh-CN"/>
        </w:rPr>
        <w:t>目录</w:t>
      </w:r>
      <w:bookmarkEnd w:id="0"/>
      <w:bookmarkEnd w:id="1"/>
      <w:r>
        <w:rPr>
          <w:rFonts w:hint="eastAsia" w:asciiTheme="minorEastAsia" w:hAnsiTheme="minorEastAsia" w:eastAsiaTheme="minorEastAsia" w:cstheme="minorEastAsia"/>
          <w:b/>
          <w:sz w:val="24"/>
          <w:szCs w:val="24"/>
        </w:rPr>
        <w:fldChar w:fldCharType="begin"/>
      </w:r>
      <w:r>
        <w:rPr>
          <w:rFonts w:hint="eastAsia" w:asciiTheme="minorEastAsia" w:hAnsiTheme="minorEastAsia" w:eastAsiaTheme="minorEastAsia" w:cstheme="minorEastAsia"/>
          <w:b/>
          <w:sz w:val="24"/>
          <w:szCs w:val="24"/>
        </w:rPr>
        <w:instrText xml:space="preserve"> TOC \o "1-3" \h \z \u </w:instrText>
      </w:r>
      <w:r>
        <w:rPr>
          <w:rFonts w:hint="eastAsia" w:asciiTheme="minorEastAsia" w:hAnsiTheme="minorEastAsia" w:eastAsiaTheme="minorEastAsia" w:cstheme="minorEastAsia"/>
          <w:b/>
          <w:sz w:val="24"/>
          <w:szCs w:val="24"/>
        </w:rPr>
        <w:fldChar w:fldCharType="separate"/>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_Toc6393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1. 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_Toc6393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_Toc17315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2. 测试背景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_Toc5217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3. 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_Toc5217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_Toc10851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4. 测试功能点及方案</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_Toc10851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_Toc8280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4.1</w:t>
      </w:r>
      <w:r>
        <w:rPr>
          <w:rFonts w:hint="eastAsia" w:asciiTheme="minorEastAsia" w:hAnsiTheme="minorEastAsia" w:eastAsiaTheme="minorEastAsia" w:cstheme="minorEastAsia"/>
        </w:rPr>
        <w:t>测试</w:t>
      </w:r>
      <w:r>
        <w:rPr>
          <w:rFonts w:hint="eastAsia" w:asciiTheme="minorEastAsia" w:hAnsiTheme="minorEastAsia" w:eastAsiaTheme="minorEastAsia" w:cstheme="minorEastAsia"/>
          <w:lang w:val="en-US" w:eastAsia="zh-CN"/>
        </w:rPr>
        <w:t>分类及模块优先级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_Toc8280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_Toc25721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4.2</w:t>
      </w:r>
      <w:r>
        <w:rPr>
          <w:rFonts w:hint="eastAsia" w:asciiTheme="minorEastAsia" w:hAnsiTheme="minorEastAsia" w:eastAsiaTheme="minorEastAsia" w:cstheme="minorEastAsia"/>
        </w:rPr>
        <w:t>测试重点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_Toc25721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_Toc31815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4.3业务外呼重点业务场景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_Toc31815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_Toc17850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5. 测试执行情况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_Toc17850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_Toc15991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5.1用例执行情况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_Toc15991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_Toc32240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5.2缺陷情况分析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_Toc32240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_Toc1957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6. 测试遗留问题及风险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_Toc1957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_Toc659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6.1 测试遗留问题</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_Toc659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22"/>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_Toc14423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lang w:val="en-US" w:eastAsia="zh-CN"/>
        </w:rPr>
        <w:t>6.2 测试风险</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_Toc14423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_Toc5974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rPr>
        <w:t>7. 支持文件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_Toc5974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19"/>
        <w:pageBreakBefore w:val="0"/>
        <w:tabs>
          <w:tab w:val="right" w:leader="dot" w:pos="9752"/>
        </w:tabs>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_Toc23975 </w:instrText>
      </w:r>
      <w:r>
        <w:rPr>
          <w:rFonts w:hint="eastAsia" w:asciiTheme="minorEastAsia" w:hAnsiTheme="minorEastAsia" w:eastAsiaTheme="minorEastAsia" w:cstheme="minorEastAsia"/>
          <w:szCs w:val="24"/>
        </w:rPr>
        <w:fldChar w:fldCharType="separate"/>
      </w:r>
      <w:r>
        <w:rPr>
          <w:rFonts w:hint="eastAsia" w:asciiTheme="minorEastAsia" w:hAnsiTheme="minorEastAsia" w:eastAsiaTheme="minorEastAsia" w:cstheme="minorEastAsia"/>
          <w:szCs w:val="32"/>
          <w:lang w:eastAsia="zh-CN"/>
        </w:rPr>
        <w:t xml:space="preserve">8. </w:t>
      </w:r>
      <w:r>
        <w:rPr>
          <w:rFonts w:hint="eastAsia" w:asciiTheme="minorEastAsia" w:hAnsiTheme="minorEastAsia" w:eastAsiaTheme="minorEastAsia" w:cstheme="minorEastAsia"/>
          <w:szCs w:val="32"/>
        </w:rPr>
        <w:t>测试结论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_Toc23975 \h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rPr>
        <w:fldChar w:fldCharType="end"/>
      </w:r>
    </w:p>
    <w:p>
      <w:pPr>
        <w:pStyle w:val="31"/>
        <w:pageBreakBefore w:val="0"/>
        <w:kinsoku/>
        <w:wordWrap/>
        <w:overflowPunct/>
        <w:topLinePunct w:val="0"/>
        <w:autoSpaceDE/>
        <w:autoSpaceDN/>
        <w:bidi w:val="0"/>
        <w:adjustRightInd/>
        <w:snapToGrid/>
        <w:spacing w:beforeLines="50" w:line="360" w:lineRule="auto"/>
        <w:ind w:right="0" w:rightChars="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fldChar w:fldCharType="end"/>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b/>
          <w:sz w:val="24"/>
        </w:rPr>
        <w:sectPr>
          <w:headerReference r:id="rId3" w:type="default"/>
          <w:footerReference r:id="rId4" w:type="default"/>
          <w:pgSz w:w="11906" w:h="16838"/>
          <w:pgMar w:top="851" w:right="1077" w:bottom="851" w:left="1077" w:header="1021" w:footer="397" w:gutter="0"/>
          <w:cols w:space="720" w:num="1"/>
          <w:docGrid w:type="lines" w:linePitch="312" w:charSpace="0"/>
        </w:sect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2" w:name="_Toc6393"/>
      <w:bookmarkStart w:id="3" w:name="_Toc491874419"/>
      <w:bookmarkStart w:id="4" w:name="_Toc496690105"/>
      <w:r>
        <w:rPr>
          <w:rFonts w:hint="eastAsia" w:asciiTheme="minorEastAsia" w:hAnsiTheme="minorEastAsia" w:eastAsiaTheme="minorEastAsia" w:cstheme="minorEastAsia"/>
          <w:b/>
          <w:sz w:val="32"/>
          <w:szCs w:val="32"/>
        </w:rPr>
        <w:t>目的</w:t>
      </w:r>
      <w:bookmarkEnd w:id="2"/>
      <w:bookmarkEnd w:id="3"/>
      <w:bookmarkEnd w:id="4"/>
    </w:p>
    <w:p>
      <w:pPr>
        <w:pStyle w:val="29"/>
        <w:pageBreakBefore w:val="0"/>
        <w:kinsoku/>
        <w:wordWrap/>
        <w:overflowPunct/>
        <w:topLinePunct w:val="0"/>
        <w:autoSpaceDE/>
        <w:autoSpaceDN/>
        <w:bidi w:val="0"/>
        <w:adjustRightInd/>
        <w:snapToGrid/>
        <w:spacing w:line="360" w:lineRule="auto"/>
        <w:ind w:right="0" w:rightChars="0" w:firstLine="480" w:firstLineChars="200"/>
        <w:jc w:val="left"/>
        <w:rPr>
          <w:rFonts w:hint="eastAsia" w:asciiTheme="minorEastAsia" w:hAnsiTheme="minorEastAsia" w:eastAsiaTheme="minorEastAsia" w:cstheme="minorEastAsia"/>
          <w:sz w:val="24"/>
          <w:lang w:val="en-US"/>
        </w:rPr>
      </w:pPr>
      <w:r>
        <w:rPr>
          <w:rFonts w:hint="eastAsia" w:asciiTheme="minorEastAsia" w:hAnsiTheme="minorEastAsia" w:eastAsiaTheme="minorEastAsia" w:cstheme="minorEastAsia"/>
          <w:sz w:val="24"/>
          <w:lang w:val="en-US" w:eastAsia="zh-CN"/>
        </w:rPr>
        <w:t>本文档是针对新电销重构项目UAT测试结果进行汇总，并对后续分析提供依据</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 xml:space="preserve"> </w:t>
      </w: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5" w:name="_Toc17315"/>
      <w:r>
        <w:rPr>
          <w:rFonts w:hint="eastAsia" w:asciiTheme="minorEastAsia" w:hAnsiTheme="minorEastAsia" w:eastAsiaTheme="minorEastAsia" w:cstheme="minorEastAsia"/>
          <w:b/>
          <w:sz w:val="32"/>
          <w:szCs w:val="32"/>
        </w:rPr>
        <w:t>测试背景</w:t>
      </w:r>
      <w:bookmarkEnd w:id="5"/>
    </w:p>
    <w:p>
      <w:pPr>
        <w:pageBreakBefore w:val="0"/>
        <w:kinsoku/>
        <w:wordWrap/>
        <w:overflowPunct/>
        <w:topLinePunct w:val="0"/>
        <w:autoSpaceDE/>
        <w:autoSpaceDN/>
        <w:bidi w:val="0"/>
        <w:adjustRightInd/>
        <w:snapToGrid/>
        <w:spacing w:line="360" w:lineRule="auto"/>
        <w:ind w:right="0" w:rightChars="0" w:firstLine="480" w:firstLineChars="2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信用卡中心2015年起使用电话营销系统，实现了在线发卡填表、账单分期、消费分期、现金分期、营销数据管理、报表查询等功能，主要用于电话销售一体化管理，基本实现了电销业务自动化、规范化运转，支持了贷前营销工作。现有电销系统经过5年的使用，已无法满足业务需求，可拓展性较低且操作不便，制约了业务的发展。基于促进我行信用卡产品销售的需要，设计全新的电销系统，以满足业务需求</w:t>
      </w:r>
      <w:r>
        <w:rPr>
          <w:rFonts w:hint="eastAsia" w:asciiTheme="minorEastAsia" w:hAnsiTheme="minorEastAsia" w:eastAsiaTheme="minorEastAsia" w:cstheme="minorEastAsia"/>
          <w:sz w:val="24"/>
          <w:lang w:eastAsia="zh-CN"/>
        </w:rPr>
        <w:t>。</w:t>
      </w:r>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6" w:name="_Toc5217"/>
      <w:r>
        <w:rPr>
          <w:rFonts w:hint="eastAsia" w:asciiTheme="minorEastAsia" w:hAnsiTheme="minorEastAsia" w:eastAsiaTheme="minorEastAsia" w:cstheme="minorEastAsia"/>
          <w:b/>
          <w:sz w:val="32"/>
          <w:szCs w:val="32"/>
        </w:rPr>
        <w:t>测试环境</w:t>
      </w:r>
      <w:bookmarkEnd w:id="6"/>
    </w:p>
    <w:tbl>
      <w:tblPr>
        <w:tblStyle w:val="25"/>
        <w:tblW w:w="9408" w:type="dxa"/>
        <w:tblInd w:w="1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08"/>
        <w:gridCol w:w="1400"/>
        <w:gridCol w:w="5052"/>
        <w:gridCol w:w="8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系统名称</w:t>
            </w:r>
          </w:p>
        </w:tc>
        <w:tc>
          <w:tcPr>
            <w:tcW w:w="140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环境</w:t>
            </w:r>
          </w:p>
        </w:tc>
        <w:tc>
          <w:tcPr>
            <w:tcW w:w="505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地址</w:t>
            </w:r>
          </w:p>
        </w:tc>
        <w:tc>
          <w:tcPr>
            <w:tcW w:w="848"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新电销系统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kern w:val="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kern w:val="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kern w:val="0"/>
                <w:sz w:val="24"/>
                <w:szCs w:val="24"/>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ETL</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ESB</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客服</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网申</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中间业务平台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统一查询平台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信审系统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信贷系统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广赢卡审批系统</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卡核心</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jc w:val="left"/>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20"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BPS</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分期app</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账管</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短信平台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统一征信平台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lang w:val="en-US" w:eastAsia="zh-CN"/>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6" w:hRule="atLeast"/>
        </w:trPr>
        <w:tc>
          <w:tcPr>
            <w:tcW w:w="210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rPr>
              <w:t>实时计算平台</w:t>
            </w:r>
          </w:p>
        </w:tc>
        <w:tc>
          <w:tcPr>
            <w:tcW w:w="1400"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测试</w:t>
            </w:r>
          </w:p>
        </w:tc>
        <w:tc>
          <w:tcPr>
            <w:tcW w:w="5052"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r>
              <w:rPr>
                <w:rFonts w:hint="eastAsia" w:asciiTheme="minorEastAsia" w:hAnsiTheme="minorEastAsia" w:eastAsiaTheme="minorEastAsia" w:cstheme="minorEastAsia"/>
                <w:i w:val="0"/>
                <w:color w:val="000000"/>
                <w:kern w:val="0"/>
                <w:sz w:val="24"/>
                <w:szCs w:val="24"/>
                <w:u w:val="none"/>
                <w:lang w:val="en-US" w:eastAsia="zh-CN"/>
              </w:rPr>
              <w:t>XXX</w:t>
            </w:r>
          </w:p>
        </w:tc>
        <w:tc>
          <w:tcPr>
            <w:tcW w:w="848"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color w:val="000000"/>
                <w:sz w:val="24"/>
                <w:szCs w:val="24"/>
                <w:u w:val="none"/>
              </w:rPr>
            </w:pPr>
          </w:p>
        </w:tc>
      </w:tr>
    </w:tbl>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7" w:name="_Toc10851"/>
      <w:r>
        <w:rPr>
          <w:rFonts w:hint="eastAsia" w:asciiTheme="minorEastAsia" w:hAnsiTheme="minorEastAsia" w:eastAsiaTheme="minorEastAsia" w:cstheme="minorEastAsia"/>
          <w:b/>
          <w:sz w:val="32"/>
          <w:szCs w:val="32"/>
        </w:rPr>
        <w:t>测试功能点及方案</w:t>
      </w:r>
      <w:bookmarkEnd w:id="7"/>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详细描写本次测试所涉及到的功能，及测试所使用的方法和流程。</w:t>
      </w:r>
    </w:p>
    <w:p>
      <w:pPr>
        <w:pStyle w:val="3"/>
        <w:pageBreakBefore w:val="0"/>
        <w:tabs>
          <w:tab w:val="left" w:pos="108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bookmarkStart w:id="8" w:name="_Toc19998"/>
      <w:bookmarkStart w:id="9" w:name="_Toc8280"/>
      <w:bookmarkStart w:id="10" w:name="_Toc13516"/>
      <w:r>
        <w:rPr>
          <w:rFonts w:hint="eastAsia" w:asciiTheme="minorEastAsia" w:hAnsiTheme="minorEastAsia" w:eastAsiaTheme="minorEastAsia" w:cstheme="minorEastAsia"/>
          <w:lang w:val="en-US" w:eastAsia="zh-CN"/>
        </w:rPr>
        <w:t>4.1</w:t>
      </w:r>
      <w:r>
        <w:rPr>
          <w:rFonts w:hint="eastAsia" w:asciiTheme="minorEastAsia" w:hAnsiTheme="minorEastAsia" w:eastAsiaTheme="minorEastAsia" w:cstheme="minorEastAsia"/>
        </w:rPr>
        <w:t>测试</w:t>
      </w:r>
      <w:r>
        <w:rPr>
          <w:rFonts w:hint="eastAsia" w:asciiTheme="minorEastAsia" w:hAnsiTheme="minorEastAsia" w:eastAsiaTheme="minorEastAsia" w:cstheme="minorEastAsia"/>
          <w:lang w:val="en-US" w:eastAsia="zh-CN"/>
        </w:rPr>
        <w:t>分类</w:t>
      </w:r>
      <w:bookmarkEnd w:id="8"/>
      <w:r>
        <w:rPr>
          <w:rFonts w:hint="eastAsia" w:asciiTheme="minorEastAsia" w:hAnsiTheme="minorEastAsia" w:eastAsiaTheme="minorEastAsia" w:cstheme="minorEastAsia"/>
          <w:lang w:val="en-US" w:eastAsia="zh-CN"/>
        </w:rPr>
        <w:t>及模块优先级</w:t>
      </w:r>
      <w:bookmarkEnd w:id="9"/>
      <w:bookmarkEnd w:id="10"/>
    </w:p>
    <w:p>
      <w:pPr>
        <w:pStyle w:val="9"/>
        <w:pageBreakBefore w:val="0"/>
        <w:numPr>
          <w:ilvl w:val="0"/>
          <w:numId w:val="3"/>
        </w:numPr>
        <w:kinsoku/>
        <w:wordWrap/>
        <w:overflowPunct/>
        <w:topLinePunct w:val="0"/>
        <w:autoSpaceDE/>
        <w:autoSpaceDN/>
        <w:bidi w:val="0"/>
        <w:adjustRightInd/>
        <w:snapToGrid/>
        <w:spacing w:line="360" w:lineRule="auto"/>
        <w:ind w:left="0" w:leftChars="0" w:right="0" w:rightChars="0" w:firstLine="420" w:firstLine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b/>
          <w:bCs/>
          <w:sz w:val="24"/>
          <w:szCs w:val="24"/>
          <w:shd w:val="clear" w:color="auto" w:fill="FFFFFF"/>
          <w:lang w:val="en-US" w:eastAsia="zh-CN"/>
        </w:rPr>
        <w:t>参数配置测试：</w:t>
      </w:r>
      <w:r>
        <w:rPr>
          <w:rFonts w:hint="eastAsia" w:asciiTheme="minorEastAsia" w:hAnsiTheme="minorEastAsia" w:eastAsiaTheme="minorEastAsia" w:cstheme="minorEastAsia"/>
          <w:sz w:val="24"/>
          <w:szCs w:val="24"/>
          <w:shd w:val="clear" w:color="auto" w:fill="FFFFFF"/>
          <w:lang w:val="en-US" w:eastAsia="zh-CN"/>
        </w:rPr>
        <w:t>系统配置类完成正常流程测试后才能进行下一个业务类测试，并为下一流程提供测试前置数据；关注配置是否生效；</w:t>
      </w:r>
    </w:p>
    <w:p>
      <w:pPr>
        <w:pStyle w:val="9"/>
        <w:pageBreakBefore w:val="0"/>
        <w:numPr>
          <w:ilvl w:val="0"/>
          <w:numId w:val="3"/>
        </w:numPr>
        <w:kinsoku/>
        <w:wordWrap/>
        <w:overflowPunct/>
        <w:topLinePunct w:val="0"/>
        <w:autoSpaceDE/>
        <w:autoSpaceDN/>
        <w:bidi w:val="0"/>
        <w:adjustRightInd/>
        <w:snapToGrid/>
        <w:spacing w:line="360" w:lineRule="auto"/>
        <w:ind w:left="0" w:leftChars="0" w:right="0" w:rightChars="0" w:firstLine="420" w:firstLine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b/>
          <w:bCs/>
          <w:sz w:val="24"/>
          <w:szCs w:val="24"/>
          <w:shd w:val="clear" w:color="auto" w:fill="FFFFFF"/>
          <w:lang w:val="en-US" w:eastAsia="zh-CN"/>
        </w:rPr>
        <w:t>业务类测试</w:t>
      </w:r>
      <w:r>
        <w:rPr>
          <w:rFonts w:hint="eastAsia" w:asciiTheme="minorEastAsia" w:hAnsiTheme="minorEastAsia" w:eastAsiaTheme="minorEastAsia" w:cstheme="minorEastAsia"/>
          <w:sz w:val="24"/>
          <w:szCs w:val="24"/>
          <w:shd w:val="clear" w:color="auto" w:fill="FFFFFF"/>
          <w:lang w:val="en-US" w:eastAsia="zh-CN"/>
        </w:rPr>
        <w:t>（会影响客诉、合规、主要业务流程的交易）：关注业务流的正确性，输入输出的正确性，涉及金额的准确性；</w:t>
      </w:r>
    </w:p>
    <w:p>
      <w:pPr>
        <w:pStyle w:val="9"/>
        <w:pageBreakBefore w:val="0"/>
        <w:numPr>
          <w:ilvl w:val="0"/>
          <w:numId w:val="3"/>
        </w:numPr>
        <w:kinsoku/>
        <w:wordWrap/>
        <w:overflowPunct/>
        <w:topLinePunct w:val="0"/>
        <w:autoSpaceDE/>
        <w:autoSpaceDN/>
        <w:bidi w:val="0"/>
        <w:adjustRightInd/>
        <w:snapToGrid/>
        <w:spacing w:line="360" w:lineRule="auto"/>
        <w:ind w:left="0" w:leftChars="0" w:right="0" w:rightChars="0" w:firstLine="420" w:firstLine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b/>
          <w:bCs/>
          <w:sz w:val="24"/>
          <w:szCs w:val="24"/>
          <w:shd w:val="clear" w:color="auto" w:fill="FFFFFF"/>
          <w:lang w:val="en-US" w:eastAsia="zh-CN"/>
        </w:rPr>
        <w:t>报表类测试</w:t>
      </w:r>
      <w:r>
        <w:rPr>
          <w:rFonts w:hint="eastAsia" w:asciiTheme="minorEastAsia" w:hAnsiTheme="minorEastAsia" w:eastAsiaTheme="minorEastAsia" w:cstheme="minorEastAsia"/>
          <w:sz w:val="24"/>
          <w:szCs w:val="24"/>
          <w:shd w:val="clear" w:color="auto" w:fill="FFFFFF"/>
          <w:lang w:val="en-US" w:eastAsia="zh-CN"/>
        </w:rPr>
        <w:t>：关注数据查询和导出性能，及数据的完整性和正确性；</w:t>
      </w:r>
    </w:p>
    <w:p>
      <w:pPr>
        <w:pStyle w:val="9"/>
        <w:pageBreakBefore w:val="0"/>
        <w:numPr>
          <w:ilvl w:val="0"/>
          <w:numId w:val="0"/>
        </w:numPr>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注：模块优先级详情请参考附件（已经需求说明文档的1.5需求功能列表，包括测试人员名单）：</w:t>
      </w:r>
    </w:p>
    <w:p>
      <w:pPr>
        <w:pStyle w:val="9"/>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lang w:eastAsia="zh-CN"/>
        </w:rPr>
      </w:pPr>
    </w:p>
    <w:p>
      <w:pPr>
        <w:pStyle w:val="3"/>
        <w:pageBreakBefore w:val="0"/>
        <w:tabs>
          <w:tab w:val="left" w:pos="108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bookmarkStart w:id="11" w:name="_Toc5892"/>
      <w:bookmarkStart w:id="12" w:name="_Toc26430"/>
      <w:bookmarkStart w:id="13" w:name="_Toc25721"/>
      <w:r>
        <w:rPr>
          <w:rFonts w:hint="eastAsia" w:asciiTheme="minorEastAsia" w:hAnsiTheme="minorEastAsia" w:eastAsiaTheme="minorEastAsia" w:cstheme="minorEastAsia"/>
          <w:lang w:val="en-US" w:eastAsia="zh-CN"/>
        </w:rPr>
        <w:t>4.2</w:t>
      </w:r>
      <w:r>
        <w:rPr>
          <w:rFonts w:hint="eastAsia" w:asciiTheme="minorEastAsia" w:hAnsiTheme="minorEastAsia" w:eastAsiaTheme="minorEastAsia" w:cstheme="minorEastAsia"/>
        </w:rPr>
        <w:t>测试重点</w:t>
      </w:r>
      <w:bookmarkEnd w:id="11"/>
      <w:bookmarkEnd w:id="12"/>
      <w:bookmarkEnd w:id="13"/>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主要验证需求文档中</w:t>
      </w:r>
      <w:r>
        <w:rPr>
          <w:rFonts w:hint="eastAsia" w:asciiTheme="minorEastAsia" w:hAnsiTheme="minorEastAsia" w:eastAsiaTheme="minorEastAsia" w:cstheme="minorEastAsia"/>
          <w:b/>
          <w:bCs/>
          <w:sz w:val="24"/>
          <w:szCs w:val="24"/>
          <w:shd w:val="clear" w:color="auto" w:fill="FFFFFF"/>
          <w:lang w:val="en-US" w:eastAsia="zh-CN"/>
        </w:rPr>
        <w:t>业务功能点</w:t>
      </w:r>
      <w:r>
        <w:rPr>
          <w:rFonts w:hint="eastAsia" w:asciiTheme="minorEastAsia" w:hAnsiTheme="minorEastAsia" w:eastAsiaTheme="minorEastAsia" w:cstheme="minorEastAsia"/>
          <w:sz w:val="24"/>
          <w:szCs w:val="24"/>
          <w:shd w:val="clear" w:color="auto" w:fill="FFFFFF"/>
          <w:lang w:val="en-US" w:eastAsia="zh-CN"/>
        </w:rPr>
        <w:t>是否已实现且可用，如增/删/改/查/呼叫/下单等；</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通过</w:t>
      </w:r>
      <w:r>
        <w:rPr>
          <w:rFonts w:hint="eastAsia" w:asciiTheme="minorEastAsia" w:hAnsiTheme="minorEastAsia" w:eastAsiaTheme="minorEastAsia" w:cstheme="minorEastAsia"/>
          <w:b/>
          <w:bCs/>
          <w:sz w:val="24"/>
          <w:szCs w:val="24"/>
          <w:shd w:val="clear" w:color="auto" w:fill="FFFFFF"/>
          <w:lang w:val="en-US" w:eastAsia="zh-CN"/>
        </w:rPr>
        <w:t>业务操作习惯及业务场景测试</w:t>
      </w:r>
      <w:r>
        <w:rPr>
          <w:rFonts w:hint="eastAsia" w:asciiTheme="minorEastAsia" w:hAnsiTheme="minorEastAsia" w:eastAsiaTheme="minorEastAsia" w:cstheme="minorEastAsia"/>
          <w:sz w:val="24"/>
          <w:szCs w:val="24"/>
          <w:shd w:val="clear" w:color="auto" w:fill="FFFFFF"/>
          <w:lang w:val="en-US" w:eastAsia="zh-CN"/>
        </w:rPr>
        <w:t>，验证系统是否符合上线要求（全流程）；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right="0" w:rightChars="0" w:firstLine="240" w:firstLineChars="100"/>
        <w:textAlignment w:val="auto"/>
        <w:rPr>
          <w:rFonts w:hint="eastAsia" w:asciiTheme="minorEastAsia" w:hAnsiTheme="minorEastAsia" w:eastAsiaTheme="minorEastAsia" w:cstheme="minorEastAsia"/>
          <w:sz w:val="24"/>
          <w:szCs w:val="24"/>
          <w:shd w:val="clear" w:color="auto" w:fill="FFFFFF"/>
          <w:lang w:val="en-US" w:eastAsia="zh-CN"/>
        </w:rPr>
      </w:pPr>
      <w:r>
        <w:rPr>
          <w:rFonts w:hint="eastAsia" w:asciiTheme="minorEastAsia" w:hAnsiTheme="minorEastAsia" w:eastAsiaTheme="minorEastAsia" w:cstheme="minorEastAsia"/>
          <w:sz w:val="24"/>
          <w:szCs w:val="24"/>
          <w:shd w:val="clear" w:color="auto" w:fill="FFFFFF"/>
          <w:lang w:val="en-US" w:eastAsia="zh-CN"/>
        </w:rPr>
        <w:t>特别关注业务类测试（业务外呼、品质管理、项目管理、数据管理），及各模块的高优先级功能用例（主流程）；</w:t>
      </w:r>
    </w:p>
    <w:p>
      <w:pPr>
        <w:pStyle w:val="3"/>
        <w:pageBreakBefore w:val="0"/>
        <w:tabs>
          <w:tab w:val="left" w:pos="1080"/>
        </w:tabs>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bookmarkStart w:id="14" w:name="_Toc31815"/>
      <w:r>
        <w:rPr>
          <w:rFonts w:hint="eastAsia" w:asciiTheme="minorEastAsia" w:hAnsiTheme="minorEastAsia" w:eastAsiaTheme="minorEastAsia" w:cstheme="minorEastAsia"/>
          <w:lang w:val="en-US" w:eastAsia="zh-CN"/>
        </w:rPr>
        <w:t>4.3业务外呼重点业务场景</w:t>
      </w:r>
      <w:bookmarkEnd w:id="14"/>
    </w:p>
    <w:tbl>
      <w:tblPr>
        <w:tblStyle w:val="2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0"/>
        <w:gridCol w:w="8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firstLine="210" w:firstLineChars="100"/>
              <w:rPr>
                <w:rFonts w:hint="eastAsia" w:asciiTheme="minorEastAsia" w:hAnsiTheme="minorEastAsia" w:eastAsiaTheme="minorEastAsia" w:cstheme="minorEastAsia"/>
                <w:kern w:val="2"/>
                <w:sz w:val="24"/>
                <w:lang w:val="en-US" w:eastAsia="zh-CN" w:bidi="ar-SA"/>
              </w:rPr>
            </w:pPr>
            <w:r>
              <w:rPr>
                <w:rFonts w:hint="eastAsia" w:asciiTheme="minorEastAsia" w:hAnsiTheme="minorEastAsia" w:eastAsiaTheme="minorEastAsia" w:cstheme="minorEastAsia"/>
                <w:lang w:val="en-US" w:eastAsia="zh-CN"/>
              </w:rPr>
              <w:t>消费分期</w:t>
            </w:r>
          </w:p>
        </w:tc>
        <w:tc>
          <w:tcPr>
            <w:tcW w:w="8074" w:type="dxa"/>
            <w:vAlign w:val="top"/>
          </w:tcPr>
          <w:p>
            <w:pPr>
              <w:pStyle w:val="4"/>
              <w:pageBreakBefore w:val="0"/>
              <w:numPr>
                <w:ilvl w:val="0"/>
                <w:numId w:val="0"/>
              </w:numPr>
              <w:kinsoku/>
              <w:wordWrap/>
              <w:overflowPunct/>
              <w:topLinePunct w:val="0"/>
              <w:autoSpaceDE/>
              <w:autoSpaceDN/>
              <w:bidi w:val="0"/>
              <w:adjustRightInd/>
              <w:snapToGrid/>
              <w:spacing w:after="0" w:line="360" w:lineRule="auto"/>
              <w:ind w:left="210" w:leftChars="10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1、各种场景的费率测算结果是否正确</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单笔分期/账单分期/分期同申/账单延期还款+占额/不占额+调额（永调/临调）+等额本金 等的混合下单场景是否正常；</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批核通过/不通过或部分批核业务场景；</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不同外呼结果标情况下，外呼记录所处的TAB是否正确，且能否二次外呼；</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是否可以正常的交叉营销（卡友推荐/EPPC）和禁止外呼</w:t>
            </w:r>
          </w:p>
          <w:p>
            <w:pPr>
              <w:pStyle w:val="4"/>
              <w:pageBreakBefore w:val="0"/>
              <w:numPr>
                <w:ilvl w:val="0"/>
                <w:numId w:val="5"/>
              </w:numPr>
              <w:kinsoku/>
              <w:wordWrap/>
              <w:overflowPunct/>
              <w:topLinePunct w:val="0"/>
              <w:autoSpaceDE/>
              <w:autoSpaceDN/>
              <w:bidi w:val="0"/>
              <w:adjustRightInd/>
              <w:snapToGrid/>
              <w:spacing w:after="0" w:line="360" w:lineRule="auto"/>
              <w:ind w:left="0" w:right="0" w:rightChars="0" w:firstLine="210" w:firstLineChars="1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5"/>
              </w:numPr>
              <w:kinsoku/>
              <w:wordWrap/>
              <w:overflowPunct/>
              <w:topLinePunct w:val="0"/>
              <w:autoSpaceDE/>
              <w:autoSpaceDN/>
              <w:bidi w:val="0"/>
              <w:adjustRightInd/>
              <w:snapToGrid/>
              <w:spacing w:after="0" w:line="360" w:lineRule="auto"/>
              <w:ind w:right="0" w:rightChars="0" w:firstLine="210" w:firstLineChars="100"/>
              <w:rPr>
                <w:rFonts w:hint="eastAsia" w:asciiTheme="minorEastAsia" w:hAnsiTheme="minorEastAsia" w:eastAsiaTheme="minorEastAsia" w:cstheme="minorEastAsia"/>
                <w:kern w:val="2"/>
                <w:sz w:val="24"/>
                <w:lang w:val="en-US" w:eastAsia="zh-CN" w:bidi="ar-SA"/>
              </w:rPr>
            </w:pPr>
            <w:r>
              <w:rPr>
                <w:rFonts w:hint="eastAsia" w:asciiTheme="minorEastAsia" w:hAnsiTheme="minorEastAsia" w:eastAsiaTheme="minorEastAsia" w:cstheme="minorEastAsia"/>
                <w:lang w:val="en-US" w:eastAsia="zh-CN"/>
              </w:rPr>
              <w:t>页面的UI 及功能满足业务需求；</w:t>
            </w:r>
          </w:p>
          <w:p>
            <w:pPr>
              <w:pStyle w:val="4"/>
              <w:pageBreakBefore w:val="0"/>
              <w:numPr>
                <w:ilvl w:val="0"/>
                <w:numId w:val="5"/>
              </w:numPr>
              <w:kinsoku/>
              <w:wordWrap/>
              <w:overflowPunct/>
              <w:topLinePunct w:val="0"/>
              <w:autoSpaceDE/>
              <w:autoSpaceDN/>
              <w:bidi w:val="0"/>
              <w:adjustRightInd/>
              <w:snapToGrid/>
              <w:spacing w:after="0" w:line="360" w:lineRule="auto"/>
              <w:ind w:right="0" w:rightChars="0" w:firstLine="240" w:firstLineChars="100"/>
              <w:rPr>
                <w:rFonts w:hint="eastAsia" w:asciiTheme="minorEastAsia" w:hAnsiTheme="minorEastAsia" w:eastAsiaTheme="minorEastAsia" w:cstheme="minorEastAsia"/>
                <w:kern w:val="2"/>
                <w:sz w:val="24"/>
                <w:lang w:val="en-US" w:eastAsia="zh-CN" w:bidi="ar-SA"/>
              </w:rPr>
            </w:pPr>
            <w:r>
              <w:rPr>
                <w:rFonts w:hint="eastAsia" w:asciiTheme="minorEastAsia" w:hAnsiTheme="minorEastAsia" w:eastAsiaTheme="minorEastAsia" w:cstheme="minorEastAsia"/>
                <w:kern w:val="2"/>
                <w:sz w:val="24"/>
                <w:lang w:val="en-US" w:eastAsia="zh-CN" w:bidi="ar-SA"/>
              </w:rPr>
              <w:t>全流程（电销-&gt;ESB-&gt;BPS-&gt;卡核心成功-&gt;CVM文件返回RET造数）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现金分期</w:t>
            </w:r>
          </w:p>
        </w:tc>
        <w:tc>
          <w:tcPr>
            <w:tcW w:w="8074" w:type="dxa"/>
            <w:vAlign w:val="top"/>
          </w:tcPr>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各种场景的费率测算结果是否正确</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还款方式（等额本息/先费后本/等本等费）+产品（EPPC 和 即享金）；占额/不占额 的混合下单场景是否正确；</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IVR/人工身份核查是否正常；</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申办进度查询：批核通过/不通过或部分批核业务场景；</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不同外呼结果标情况下，外呼记录所处的TAB是否正确，且能否二次外呼；</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是否可以正常的交叉营销（卡友推荐/消费分期）和禁止外呼</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p>
            <w:pPr>
              <w:pStyle w:val="4"/>
              <w:pageBreakBefore w:val="0"/>
              <w:numPr>
                <w:ilvl w:val="0"/>
                <w:numId w:val="6"/>
              </w:numPr>
              <w:kinsoku/>
              <w:wordWrap/>
              <w:overflowPunct/>
              <w:topLinePunct w:val="0"/>
              <w:autoSpaceDE/>
              <w:autoSpaceDN/>
              <w:bidi w:val="0"/>
              <w:adjustRightInd/>
              <w:snapToGrid/>
              <w:spacing w:after="0" w:line="360" w:lineRule="auto"/>
              <w:ind w:left="24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全流程（电销-&gt;ESB-&gt;账管预批-&gt;信贷审批-&gt;卡核心成功-&gt;CVM文件返回RET造数）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发卡业务</w:t>
            </w:r>
          </w:p>
        </w:tc>
        <w:tc>
          <w:tcPr>
            <w:tcW w:w="8074" w:type="dxa"/>
            <w:vAlign w:val="top"/>
          </w:tcPr>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IVR/手工征信核查授权和结束归档是否正常；</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常用信用卡的是否能正常下单进入审批；（如通用信用卡、VISA同申/不同申，是否同意调整卡片级别等混合组合业务场景）</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是否申请EPPC额度；</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复审人员进行复审，对应不同复审结果外呼记录的状态和页面展示是否正确；</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发卡过程进入到草稿箱（资料不完整）的情况下，是否能重现发起进件或到点回收，超时场景是否被回收；</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发卡过程进入到草稿箱（资料完整未电核）情况下，是否能重现发起进件（自动或手动），超时的场景是否会自动提交；</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不同的审批结果下，外呼记录的状态流转和页面展示是否正确；</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不同外呼结果标情况下，外呼记录所处的TAB是否正确，且能否二次外呼；</w:t>
            </w:r>
          </w:p>
          <w:p>
            <w:pPr>
              <w:pStyle w:val="4"/>
              <w:pageBreakBefore w:val="0"/>
              <w:numPr>
                <w:ilvl w:val="0"/>
                <w:numId w:val="7"/>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是否可以正常的交叉营销（卡友推荐/消费分期）和禁止外呼</w:t>
            </w:r>
          </w:p>
          <w:p>
            <w:pPr>
              <w:pStyle w:val="4"/>
              <w:pageBreakBefore w:val="0"/>
              <w:numPr>
                <w:ilvl w:val="0"/>
                <w:numId w:val="7"/>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快发/常规发卡+实体/虚拟卡 + EPPC下单等业务场景；</w:t>
            </w:r>
          </w:p>
          <w:p>
            <w:pPr>
              <w:pStyle w:val="4"/>
              <w:pageBreakBefore w:val="0"/>
              <w:numPr>
                <w:ilvl w:val="0"/>
                <w:numId w:val="7"/>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p>
            <w:pPr>
              <w:pStyle w:val="4"/>
              <w:pageBreakBefore w:val="0"/>
              <w:numPr>
                <w:ilvl w:val="0"/>
                <w:numId w:val="7"/>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全流程（电销-&gt;ESB-&gt;信审审批-&gt;卡核心发卡成功-&gt;CVM文件返回RET造数）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促激活</w:t>
            </w:r>
          </w:p>
        </w:tc>
        <w:tc>
          <w:tcPr>
            <w:tcW w:w="8074" w:type="dxa"/>
            <w:vAlign w:val="top"/>
          </w:tcPr>
          <w:p>
            <w:pPr>
              <w:pStyle w:val="4"/>
              <w:pageBreakBefore w:val="0"/>
              <w:numPr>
                <w:ilvl w:val="0"/>
                <w:numId w:val="0"/>
              </w:numPr>
              <w:kinsoku/>
              <w:wordWrap/>
              <w:overflowPunct/>
              <w:topLinePunct w:val="0"/>
              <w:autoSpaceDE/>
              <w:autoSpaceDN/>
              <w:bidi w:val="0"/>
              <w:adjustRightInd/>
              <w:snapToGrid/>
              <w:spacing w:after="0" w:line="360" w:lineRule="auto"/>
              <w:ind w:left="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1、客户信息内容展示是否一致</w:t>
            </w:r>
          </w:p>
          <w:p>
            <w:pPr>
              <w:pStyle w:val="4"/>
              <w:pageBreakBefore w:val="0"/>
              <w:numPr>
                <w:ilvl w:val="0"/>
                <w:numId w:val="0"/>
              </w:numPr>
              <w:kinsoku/>
              <w:wordWrap/>
              <w:overflowPunct/>
              <w:topLinePunct w:val="0"/>
              <w:autoSpaceDE/>
              <w:autoSpaceDN/>
              <w:bidi w:val="0"/>
              <w:adjustRightInd/>
              <w:snapToGrid/>
              <w:spacing w:after="0" w:line="360" w:lineRule="auto"/>
              <w:ind w:left="6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2、是不是可以正常下单（添加到成功列表）</w:t>
            </w:r>
          </w:p>
          <w:p>
            <w:pPr>
              <w:pStyle w:val="4"/>
              <w:pageBreakBefore w:val="0"/>
              <w:numPr>
                <w:ilvl w:val="0"/>
                <w:numId w:val="0"/>
              </w:numPr>
              <w:kinsoku/>
              <w:wordWrap/>
              <w:overflowPunct/>
              <w:topLinePunct w:val="0"/>
              <w:autoSpaceDE/>
              <w:autoSpaceDN/>
              <w:bidi w:val="0"/>
              <w:adjustRightInd/>
              <w:snapToGrid/>
              <w:spacing w:after="0" w:line="360" w:lineRule="auto"/>
              <w:ind w:left="6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3、客户要求禁呼叫、卡友推荐是否正常</w:t>
            </w:r>
          </w:p>
          <w:p>
            <w:pPr>
              <w:pStyle w:val="4"/>
              <w:pageBreakBefore w:val="0"/>
              <w:numPr>
                <w:ilvl w:val="0"/>
                <w:numId w:val="0"/>
              </w:numPr>
              <w:kinsoku/>
              <w:wordWrap/>
              <w:overflowPunct/>
              <w:topLinePunct w:val="0"/>
              <w:autoSpaceDE/>
              <w:autoSpaceDN/>
              <w:bidi w:val="0"/>
              <w:adjustRightInd/>
              <w:snapToGrid/>
              <w:spacing w:after="0" w:line="360" w:lineRule="auto"/>
              <w:ind w:left="6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4、不同的结果标，外呼记录所处的TAB是否正确，且是否支持二次外呼；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催激活</w:t>
            </w:r>
          </w:p>
        </w:tc>
        <w:tc>
          <w:tcPr>
            <w:tcW w:w="8074" w:type="dxa"/>
            <w:vAlign w:val="top"/>
          </w:tcPr>
          <w:p>
            <w:pPr>
              <w:pStyle w:val="4"/>
              <w:pageBreakBefore w:val="0"/>
              <w:numPr>
                <w:ilvl w:val="0"/>
                <w:numId w:val="8"/>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是否可以正常下单（添加到成功列表）</w:t>
            </w:r>
          </w:p>
          <w:p>
            <w:pPr>
              <w:pStyle w:val="4"/>
              <w:pageBreakBefore w:val="0"/>
              <w:numPr>
                <w:ilvl w:val="0"/>
                <w:numId w:val="8"/>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卡友推荐、禁呼、一键激活、设置查询/交易密码成功；</w:t>
            </w:r>
          </w:p>
          <w:p>
            <w:pPr>
              <w:pStyle w:val="4"/>
              <w:pageBreakBefore w:val="0"/>
              <w:numPr>
                <w:ilvl w:val="0"/>
                <w:numId w:val="8"/>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不同的结果标，外呼记录所处的TAB是否正确，且是否支持二次外呼；</w:t>
            </w:r>
          </w:p>
          <w:p>
            <w:pPr>
              <w:pStyle w:val="4"/>
              <w:pageBreakBefore w:val="0"/>
              <w:numPr>
                <w:ilvl w:val="0"/>
                <w:numId w:val="0"/>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4、客户信息内容展示是否一致；</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5、页面的UI 及功能满足业务需求；</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6、全流程（电销-&gt;ESB-&gt;卡核心激活成功-&gt;CVM文件返回RET造数）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广赢卡片</w:t>
            </w:r>
          </w:p>
        </w:tc>
        <w:tc>
          <w:tcPr>
            <w:tcW w:w="8074" w:type="dxa"/>
            <w:vAlign w:val="top"/>
          </w:tcPr>
          <w:p>
            <w:pPr>
              <w:pStyle w:val="4"/>
              <w:pageBreakBefore w:val="0"/>
              <w:numPr>
                <w:ilvl w:val="0"/>
                <w:numId w:val="0"/>
              </w:numPr>
              <w:kinsoku/>
              <w:wordWrap/>
              <w:overflowPunct/>
              <w:topLinePunct w:val="0"/>
              <w:autoSpaceDE/>
              <w:autoSpaceDN/>
              <w:bidi w:val="0"/>
              <w:adjustRightInd/>
              <w:snapToGrid/>
              <w:spacing w:after="0" w:line="360" w:lineRule="auto"/>
              <w:ind w:left="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1、客户信息内容展示是否一致</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2、下单页：在线填表的有效性，是否可以正常下单预约上门</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3、各种外呼结果标下，是否正确流转到不同的TAB，且可以进行二次外呼</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4、外呼/其他号码外呼的有效性校验，包含外呼次数、外呼时长的更新；</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5、草稿箱功能是否正常；（修改/提交/外呼等业务功能）</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6、成功列表和复审功能；</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7、审批结果的闭环验证；</w:t>
            </w:r>
          </w:p>
          <w:p>
            <w:pPr>
              <w:pStyle w:val="4"/>
              <w:pageBreakBefore w:val="0"/>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8、全流程（电销-&gt;ESB-&gt;广赢卡审批系统-&gt;卡核心-&gt;CVM文件返回RET造数）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卡片升级</w:t>
            </w:r>
          </w:p>
        </w:tc>
        <w:tc>
          <w:tcPr>
            <w:tcW w:w="8074" w:type="dxa"/>
            <w:vAlign w:val="top"/>
          </w:tcPr>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大部分同普通发卡,除大部分功能外，关注不同卡产品的升级，</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草稿箱功能是否正常，过期是否回收；</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是否可以成功下单和下标；</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外呼/其他号码外呼的有效性校验，包含外呼次数、外呼时长的更新；</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5、成功列表和复审功能；</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6、审批结果的闭环验证；</w:t>
            </w:r>
          </w:p>
          <w:p>
            <w:pPr>
              <w:pStyle w:val="4"/>
              <w:pageBreakBefore w:val="0"/>
              <w:numPr>
                <w:ilvl w:val="0"/>
                <w:numId w:val="0"/>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7、客户信息内容展示是否一致；</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8、页面的UI 及功能满足业务需求；</w:t>
            </w:r>
          </w:p>
          <w:p>
            <w:pPr>
              <w:pStyle w:val="4"/>
              <w:pageBreakBefore w:val="0"/>
              <w:numPr>
                <w:ilvl w:val="0"/>
                <w:numId w:val="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9、全流程（电销-&gt;ESB-&gt;信审审批-&gt;卡核心发卡成功-&gt;CVM文件返回RET造数）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卡友推荐</w:t>
            </w:r>
          </w:p>
        </w:tc>
        <w:tc>
          <w:tcPr>
            <w:tcW w:w="8074" w:type="dxa"/>
            <w:vAlign w:val="top"/>
          </w:tcPr>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外呼是否正常，在线填表：UI/表字段的有效性校验，且能正常下标（成功/其他）；</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同一个客户不能新增10条，同一个客户不能录入2次，客户的手机号码已有卡的情况；不录入的情况等业务场景</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被推荐人信息查询正确，且可以修改</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卡友推荐意向客户信息通过导入可分配到指定项目编号营销员账号下，需要验证是否生效；</w:t>
            </w:r>
          </w:p>
          <w:p>
            <w:pPr>
              <w:pStyle w:val="4"/>
              <w:pageBreakBefore w:val="0"/>
              <w:numPr>
                <w:ilvl w:val="0"/>
                <w:numId w:val="9"/>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9"/>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top"/>
          </w:tcPr>
          <w:p>
            <w:pPr>
              <w:pStyle w:val="4"/>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通用产品</w:t>
            </w:r>
          </w:p>
        </w:tc>
        <w:tc>
          <w:tcPr>
            <w:tcW w:w="8074" w:type="dxa"/>
            <w:vAlign w:val="top"/>
          </w:tcPr>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类似发卡，外呼人员进行任务外呼，通过自定义通用表单进行下单；</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表单填写的有效性校验；</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下单成功/失败后正常流转到对应的页面，且状态正确；</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外呼结果是否正常，各结果标下的状态是否正常；</w:t>
            </w:r>
          </w:p>
          <w:p>
            <w:pPr>
              <w:pStyle w:val="4"/>
              <w:pageBreakBefore w:val="0"/>
              <w:numPr>
                <w:ilvl w:val="0"/>
                <w:numId w:val="10"/>
              </w:numPr>
              <w:kinsoku/>
              <w:wordWrap/>
              <w:overflowPunct/>
              <w:topLinePunct w:val="0"/>
              <w:autoSpaceDE/>
              <w:autoSpaceDN/>
              <w:bidi w:val="0"/>
              <w:adjustRightInd/>
              <w:snapToGrid/>
              <w:spacing w:after="0" w:line="360" w:lineRule="auto"/>
              <w:ind w:left="0" w:leftChars="0"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客户信息内容展示是否一致；</w:t>
            </w:r>
          </w:p>
          <w:p>
            <w:pPr>
              <w:pStyle w:val="4"/>
              <w:pageBreakBefore w:val="0"/>
              <w:numPr>
                <w:ilvl w:val="0"/>
                <w:numId w:val="10"/>
              </w:numPr>
              <w:kinsoku/>
              <w:wordWrap/>
              <w:overflowPunct/>
              <w:topLinePunct w:val="0"/>
              <w:autoSpaceDE/>
              <w:autoSpaceDN/>
              <w:bidi w:val="0"/>
              <w:adjustRightInd/>
              <w:snapToGrid/>
              <w:spacing w:after="0" w:line="360" w:lineRule="auto"/>
              <w:ind w:right="0" w:righ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页面的UI 及功能满足业务需求；</w:t>
            </w:r>
          </w:p>
        </w:tc>
      </w:tr>
    </w:tbl>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15" w:name="_Toc17850"/>
      <w:r>
        <w:rPr>
          <w:rFonts w:hint="eastAsia" w:asciiTheme="minorEastAsia" w:hAnsiTheme="minorEastAsia" w:eastAsiaTheme="minorEastAsia" w:cstheme="minorEastAsia"/>
          <w:b/>
          <w:sz w:val="32"/>
          <w:szCs w:val="32"/>
        </w:rPr>
        <w:t>测试执行情况</w:t>
      </w:r>
      <w:bookmarkEnd w:id="15"/>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本需求分为3轮UAT测试阶段+变更需求UAT测试：</w:t>
      </w:r>
    </w:p>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6" w:name="_Toc15991"/>
      <w:r>
        <w:rPr>
          <w:rFonts w:hint="eastAsia" w:asciiTheme="minorEastAsia" w:hAnsiTheme="minorEastAsia" w:eastAsiaTheme="minorEastAsia" w:cstheme="minorEastAsia"/>
          <w:lang w:val="en-US" w:eastAsia="zh-CN"/>
        </w:rPr>
        <w:t>5.1用例执行情况</w:t>
      </w:r>
      <w:bookmarkEnd w:id="16"/>
    </w:p>
    <w:tbl>
      <w:tblPr>
        <w:tblStyle w:val="25"/>
        <w:tblW w:w="10241"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72"/>
        <w:gridCol w:w="1125"/>
        <w:gridCol w:w="1163"/>
        <w:gridCol w:w="1200"/>
        <w:gridCol w:w="956"/>
        <w:gridCol w:w="994"/>
        <w:gridCol w:w="1012"/>
        <w:gridCol w:w="919"/>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9" w:hRule="atLeast"/>
        </w:trPr>
        <w:tc>
          <w:tcPr>
            <w:tcW w:w="10241" w:type="dxa"/>
            <w:gridSpan w:val="9"/>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电销系统UAT测试用例执行表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4" w:hRule="atLeast"/>
        </w:trPr>
        <w:tc>
          <w:tcPr>
            <w:tcW w:w="1972"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模块</w:t>
            </w:r>
          </w:p>
        </w:tc>
        <w:tc>
          <w:tcPr>
            <w:tcW w:w="1125"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执行率</w:t>
            </w:r>
          </w:p>
        </w:tc>
        <w:tc>
          <w:tcPr>
            <w:tcW w:w="1163"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通过率</w:t>
            </w:r>
          </w:p>
        </w:tc>
        <w:tc>
          <w:tcPr>
            <w:tcW w:w="1200"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用例总数</w:t>
            </w:r>
          </w:p>
        </w:tc>
        <w:tc>
          <w:tcPr>
            <w:tcW w:w="956"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已执行</w:t>
            </w:r>
          </w:p>
        </w:tc>
        <w:tc>
          <w:tcPr>
            <w:tcW w:w="994"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未执行</w:t>
            </w:r>
          </w:p>
        </w:tc>
        <w:tc>
          <w:tcPr>
            <w:tcW w:w="1012"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不适用</w:t>
            </w:r>
          </w:p>
        </w:tc>
        <w:tc>
          <w:tcPr>
            <w:tcW w:w="919"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已通过</w:t>
            </w:r>
          </w:p>
        </w:tc>
        <w:tc>
          <w:tcPr>
            <w:tcW w:w="900" w:type="dxa"/>
            <w:tcBorders>
              <w:top w:val="nil"/>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不通过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3"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冒烟测试</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323</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321</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321</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9"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第一轮测试</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2708</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2676</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32</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2676</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9"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第二轮测试</w:t>
            </w:r>
            <w:r>
              <w:rPr>
                <w:rFonts w:hint="eastAsia" w:asciiTheme="minorEastAsia" w:hAnsiTheme="minorEastAsia" w:eastAsiaTheme="minorEastAsia" w:cstheme="minorEastAsia"/>
                <w:i w:val="0"/>
                <w:color w:val="000000"/>
                <w:kern w:val="0"/>
                <w:sz w:val="22"/>
                <w:szCs w:val="22"/>
                <w:lang w:val="en-US" w:eastAsia="zh-CN" w:bidi="ar-SA"/>
              </w:rPr>
              <w:br w:type="textWrapping"/>
            </w:r>
            <w:r>
              <w:rPr>
                <w:rFonts w:hint="eastAsia" w:asciiTheme="minorEastAsia" w:hAnsiTheme="minorEastAsia" w:eastAsiaTheme="minorEastAsia" w:cstheme="minorEastAsia"/>
                <w:i w:val="0"/>
                <w:color w:val="000000"/>
                <w:kern w:val="0"/>
                <w:sz w:val="22"/>
                <w:szCs w:val="22"/>
                <w:lang w:val="en-US" w:eastAsia="zh-CN" w:bidi="ar-SA"/>
              </w:rPr>
              <w:t>（回归测试）</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672</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669</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669</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3"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变更需求</w:t>
            </w:r>
            <w:r>
              <w:rPr>
                <w:rFonts w:hint="eastAsia" w:asciiTheme="minorEastAsia" w:hAnsiTheme="minorEastAsia" w:eastAsiaTheme="minorEastAsia" w:cstheme="minorEastAsia"/>
                <w:i w:val="0"/>
                <w:color w:val="000000"/>
                <w:kern w:val="0"/>
                <w:sz w:val="22"/>
                <w:szCs w:val="22"/>
                <w:lang w:val="en-US" w:eastAsia="zh-CN" w:bidi="ar-SA"/>
              </w:rPr>
              <w:br w:type="textWrapping"/>
            </w:r>
            <w:r>
              <w:rPr>
                <w:rFonts w:hint="eastAsia" w:asciiTheme="minorEastAsia" w:hAnsiTheme="minorEastAsia" w:eastAsiaTheme="minorEastAsia" w:cstheme="minorEastAsia"/>
                <w:i w:val="0"/>
                <w:color w:val="000000"/>
                <w:kern w:val="0"/>
                <w:sz w:val="22"/>
                <w:szCs w:val="22"/>
                <w:lang w:val="en-US" w:eastAsia="zh-CN" w:bidi="ar-SA"/>
              </w:rPr>
              <w:t>（快发/等额本金）</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149</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149</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149</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2"/>
                <w:szCs w:val="22"/>
                <w:u w:val="none"/>
                <w:lang w:val="en-US" w:eastAsia="zh-CN"/>
              </w:rPr>
            </w:pPr>
            <w:r>
              <w:rPr>
                <w:rFonts w:hint="eastAsia" w:asciiTheme="minorEastAsia" w:hAnsiTheme="minorEastAsia" w:eastAsiaTheme="minorEastAsia" w:cstheme="minorEastAsia"/>
                <w:i w:val="0"/>
                <w:color w:val="000000"/>
                <w:kern w:val="0"/>
                <w:sz w:val="22"/>
                <w:szCs w:val="22"/>
                <w:lang w:val="en-US" w:eastAsia="zh-CN" w:bidi="ar-SA"/>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auto"/>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总数</w:t>
            </w:r>
          </w:p>
        </w:tc>
        <w:tc>
          <w:tcPr>
            <w:tcW w:w="1125"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w:t>
            </w:r>
          </w:p>
        </w:tc>
        <w:tc>
          <w:tcPr>
            <w:tcW w:w="1163"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100.00%</w:t>
            </w:r>
          </w:p>
        </w:tc>
        <w:tc>
          <w:tcPr>
            <w:tcW w:w="12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3852</w:t>
            </w:r>
          </w:p>
        </w:tc>
        <w:tc>
          <w:tcPr>
            <w:tcW w:w="9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3815</w:t>
            </w:r>
          </w:p>
        </w:tc>
        <w:tc>
          <w:tcPr>
            <w:tcW w:w="994"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37</w:t>
            </w:r>
          </w:p>
        </w:tc>
        <w:tc>
          <w:tcPr>
            <w:tcW w:w="9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3815</w:t>
            </w:r>
          </w:p>
        </w:tc>
        <w:tc>
          <w:tcPr>
            <w:tcW w:w="900" w:type="dxa"/>
            <w:tcBorders>
              <w:top w:val="single" w:color="000000" w:sz="4" w:space="0"/>
              <w:left w:val="single" w:color="000000" w:sz="4" w:space="0"/>
              <w:bottom w:val="single" w:color="000000" w:sz="4" w:space="0"/>
              <w:right w:val="single" w:color="000000" w:sz="4" w:space="0"/>
            </w:tcBorders>
            <w:shd w:val="clear" w:color="auto" w:fill="FFFFFF"/>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color w:val="000000"/>
                <w:kern w:val="0"/>
                <w:sz w:val="22"/>
                <w:szCs w:val="22"/>
                <w:lang w:val="en-US" w:eastAsia="zh-CN" w:bidi="ar-SA"/>
              </w:rPr>
              <w:t>0</w:t>
            </w:r>
          </w:p>
        </w:tc>
      </w:tr>
    </w:tbl>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7" w:name="_Toc32240"/>
      <w:r>
        <w:rPr>
          <w:rFonts w:hint="eastAsia" w:asciiTheme="minorEastAsia" w:hAnsiTheme="minorEastAsia" w:eastAsiaTheme="minorEastAsia" w:cstheme="minorEastAsia"/>
          <w:lang w:val="en-US" w:eastAsia="zh-CN"/>
        </w:rPr>
        <w:t>5.2缺陷情况分析</w:t>
      </w:r>
      <w:bookmarkEnd w:id="17"/>
    </w:p>
    <w:tbl>
      <w:tblPr>
        <w:tblStyle w:val="25"/>
        <w:tblW w:w="941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2"/>
        <w:gridCol w:w="924"/>
        <w:gridCol w:w="1140"/>
        <w:gridCol w:w="960"/>
        <w:gridCol w:w="984"/>
        <w:gridCol w:w="996"/>
        <w:gridCol w:w="924"/>
        <w:gridCol w:w="1152"/>
        <w:gridCol w:w="9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416" w:type="dxa"/>
            <w:gridSpan w:val="9"/>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Style w:val="48"/>
                <w:rFonts w:hint="eastAsia" w:asciiTheme="minorEastAsia" w:hAnsiTheme="minorEastAsia" w:eastAsiaTheme="minorEastAsia" w:cstheme="minorEastAsia"/>
                <w:lang w:val="en-US" w:eastAsia="zh-CN"/>
              </w:rPr>
              <w:t xml:space="preserve">2022年4月1日 至  2022年5月8日 </w:t>
            </w:r>
            <w:r>
              <w:rPr>
                <w:rStyle w:val="49"/>
                <w:rFonts w:hint="eastAsia" w:asciiTheme="minorEastAsia" w:hAnsiTheme="minorEastAsia" w:eastAsiaTheme="minorEastAsia" w:cstheme="minorEastAsia"/>
                <w:lang w:val="en-US" w:eastAsia="zh-CN"/>
              </w:rPr>
              <w:t>【UAT测试】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8" w:hRule="atLeast"/>
        </w:trPr>
        <w:tc>
          <w:tcPr>
            <w:tcW w:w="135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i w:val="0"/>
                <w:iCs w:val="0"/>
                <w:color w:val="000000"/>
                <w:sz w:val="20"/>
                <w:szCs w:val="20"/>
                <w:u w:val="none"/>
                <w:lang w:val="en-US" w:eastAsia="zh-CN"/>
              </w:rPr>
            </w:pPr>
            <w:r>
              <w:rPr>
                <w:rFonts w:hint="eastAsia" w:asciiTheme="minorEastAsia" w:hAnsiTheme="minorEastAsia" w:eastAsiaTheme="minorEastAsia" w:cstheme="minorEastAsia"/>
                <w:b/>
                <w:bCs/>
                <w:i w:val="0"/>
                <w:iCs w:val="0"/>
                <w:color w:val="000000"/>
                <w:kern w:val="0"/>
                <w:sz w:val="22"/>
                <w:szCs w:val="22"/>
                <w:u w:val="none"/>
                <w:lang w:val="en-US" w:eastAsia="zh-CN"/>
              </w:rPr>
              <w:t>严重级别</w:t>
            </w:r>
          </w:p>
        </w:tc>
        <w:tc>
          <w:tcPr>
            <w:tcW w:w="92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总数</w:t>
            </w:r>
          </w:p>
        </w:tc>
        <w:tc>
          <w:tcPr>
            <w:tcW w:w="114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待修复</w:t>
            </w:r>
          </w:p>
        </w:tc>
        <w:tc>
          <w:tcPr>
            <w:tcW w:w="96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已关闭</w:t>
            </w:r>
          </w:p>
        </w:tc>
        <w:tc>
          <w:tcPr>
            <w:tcW w:w="98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待验证</w:t>
            </w:r>
          </w:p>
        </w:tc>
        <w:tc>
          <w:tcPr>
            <w:tcW w:w="996"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已拒绝</w:t>
            </w:r>
          </w:p>
        </w:tc>
        <w:tc>
          <w:tcPr>
            <w:tcW w:w="92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挂起</w:t>
            </w:r>
          </w:p>
        </w:tc>
        <w:tc>
          <w:tcPr>
            <w:tcW w:w="115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重新打开</w:t>
            </w:r>
          </w:p>
        </w:tc>
        <w:tc>
          <w:tcPr>
            <w:tcW w:w="984"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分布%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bookmarkStart w:id="18" w:name="OLE_LINK1" w:colFirst="0" w:colLast="0"/>
            <w:bookmarkStart w:id="127" w:name="_GoBack" w:colFirst="0" w:colLast="0"/>
            <w:r>
              <w:rPr>
                <w:rFonts w:hint="eastAsia" w:asciiTheme="minorEastAsia" w:hAnsiTheme="minorEastAsia" w:eastAsiaTheme="minorEastAsia" w:cstheme="minorEastAsia"/>
                <w:i w:val="0"/>
                <w:iCs w:val="0"/>
                <w:color w:val="000000"/>
                <w:kern w:val="0"/>
                <w:sz w:val="22"/>
                <w:szCs w:val="22"/>
                <w:u w:val="none"/>
                <w:lang w:val="en-US" w:eastAsia="zh-CN"/>
              </w:rPr>
              <w:t>A (致命)</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6</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6</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6"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B  (严重)</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4</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4</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C (一般)</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253</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253</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94.1%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D (优化)</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6</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5</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2.2%</w:t>
            </w:r>
          </w:p>
        </w:tc>
      </w:tr>
      <w:bookmarkEnd w:id="127"/>
      <w:bookmarkEnd w:id="18"/>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0"/>
                <w:szCs w:val="20"/>
                <w:u w:val="none"/>
              </w:rPr>
            </w:pPr>
            <w:r>
              <w:rPr>
                <w:rFonts w:hint="eastAsia" w:asciiTheme="minorEastAsia" w:hAnsiTheme="minorEastAsia" w:eastAsiaTheme="minorEastAsia" w:cstheme="minorEastAsia"/>
                <w:b/>
                <w:bCs/>
                <w:i w:val="0"/>
                <w:iCs w:val="0"/>
                <w:color w:val="000000"/>
                <w:kern w:val="0"/>
                <w:sz w:val="20"/>
                <w:szCs w:val="20"/>
                <w:u w:val="none"/>
                <w:lang w:val="en-US" w:eastAsia="zh-CN"/>
              </w:rPr>
              <w:t>合计</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269</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268</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13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b/>
                <w:bCs/>
                <w:i w:val="0"/>
                <w:iCs w:val="0"/>
                <w:color w:val="000000"/>
                <w:sz w:val="20"/>
                <w:szCs w:val="20"/>
                <w:u w:val="none"/>
              </w:rPr>
            </w:pPr>
            <w:r>
              <w:rPr>
                <w:rFonts w:hint="eastAsia" w:asciiTheme="minorEastAsia" w:hAnsiTheme="minorEastAsia" w:eastAsiaTheme="minorEastAsia" w:cstheme="minorEastAsia"/>
                <w:b/>
                <w:bCs/>
                <w:i w:val="0"/>
                <w:iCs w:val="0"/>
                <w:color w:val="000000"/>
                <w:kern w:val="0"/>
                <w:sz w:val="20"/>
                <w:szCs w:val="20"/>
                <w:u w:val="none"/>
                <w:lang w:val="en-US" w:eastAsia="zh-CN"/>
              </w:rPr>
              <w:t>%</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100.0%</w:t>
            </w:r>
          </w:p>
        </w:tc>
        <w:tc>
          <w:tcPr>
            <w:tcW w:w="114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0.0%</w:t>
            </w:r>
          </w:p>
        </w:tc>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99.6%</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w:t>
            </w:r>
          </w:p>
        </w:tc>
        <w:tc>
          <w:tcPr>
            <w:tcW w:w="996"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0.0%</w:t>
            </w:r>
          </w:p>
        </w:tc>
        <w:tc>
          <w:tcPr>
            <w:tcW w:w="924"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0.4%</w:t>
            </w:r>
          </w:p>
        </w:tc>
        <w:tc>
          <w:tcPr>
            <w:tcW w:w="115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0"/>
                <w:szCs w:val="20"/>
                <w:u w:val="none"/>
              </w:rPr>
            </w:pPr>
            <w:r>
              <w:rPr>
                <w:rFonts w:hint="eastAsia" w:asciiTheme="minorEastAsia" w:hAnsiTheme="minorEastAsia" w:eastAsiaTheme="minorEastAsia" w:cstheme="minorEastAsia"/>
                <w:i w:val="0"/>
                <w:color w:val="000000"/>
                <w:kern w:val="0"/>
                <w:sz w:val="20"/>
                <w:szCs w:val="20"/>
                <w:lang w:val="en-US" w:eastAsia="zh-CN" w:bidi="ar-SA"/>
              </w:rPr>
              <w:t>0.0%</w:t>
            </w:r>
          </w:p>
        </w:tc>
        <w:tc>
          <w:tcPr>
            <w:tcW w:w="984"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i w:val="0"/>
                <w:iCs w:val="0"/>
                <w:color w:val="000000"/>
                <w:sz w:val="20"/>
                <w:szCs w:val="20"/>
                <w:u w:val="none"/>
              </w:rPr>
            </w:pPr>
          </w:p>
        </w:tc>
      </w:tr>
    </w:tbl>
    <w:p>
      <w:pPr>
        <w:pStyle w:val="32"/>
        <w:pageBreakBefore w:val="0"/>
        <w:kinsoku/>
        <w:wordWrap/>
        <w:overflowPunct/>
        <w:topLinePunct w:val="0"/>
        <w:autoSpaceDE/>
        <w:autoSpaceDN/>
        <w:bidi w:val="0"/>
        <w:adjustRightInd/>
        <w:snapToGrid/>
        <w:spacing w:line="360" w:lineRule="auto"/>
        <w:ind w:left="0" w:leftChars="0" w:right="0" w:rightChars="0" w:firstLine="0" w:firstLineChars="0"/>
        <w:jc w:val="left"/>
        <w:rPr>
          <w:rFonts w:hint="eastAsia" w:asciiTheme="minorEastAsia" w:hAnsiTheme="minorEastAsia" w:eastAsiaTheme="minorEastAsia" w:cstheme="minorEastAsia"/>
          <w:sz w:val="24"/>
          <w:lang w:val="en-US" w:eastAsia="zh-CN"/>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19" w:name="_Toc408481786"/>
      <w:bookmarkEnd w:id="19"/>
      <w:bookmarkStart w:id="20" w:name="_Toc408481202"/>
      <w:bookmarkEnd w:id="20"/>
      <w:bookmarkStart w:id="21" w:name="_Toc408502083"/>
      <w:bookmarkEnd w:id="21"/>
      <w:bookmarkStart w:id="22" w:name="_Toc408489605"/>
      <w:bookmarkEnd w:id="22"/>
      <w:bookmarkStart w:id="23" w:name="_Toc408482355"/>
      <w:bookmarkEnd w:id="23"/>
      <w:bookmarkStart w:id="24" w:name="_Toc408481047"/>
      <w:bookmarkEnd w:id="24"/>
      <w:bookmarkStart w:id="25" w:name="_Toc408489261"/>
      <w:bookmarkEnd w:id="25"/>
      <w:bookmarkStart w:id="26" w:name="_Toc413834550"/>
      <w:bookmarkEnd w:id="26"/>
      <w:bookmarkStart w:id="27" w:name="_Toc408490737"/>
      <w:bookmarkEnd w:id="27"/>
      <w:bookmarkStart w:id="28" w:name="_Toc408489930"/>
      <w:bookmarkEnd w:id="28"/>
      <w:bookmarkStart w:id="29" w:name="_Toc408482178"/>
      <w:bookmarkEnd w:id="29"/>
      <w:bookmarkStart w:id="30" w:name="_Toc408490821"/>
      <w:bookmarkEnd w:id="30"/>
      <w:bookmarkStart w:id="31" w:name="_Toc408482157"/>
      <w:bookmarkEnd w:id="31"/>
      <w:bookmarkStart w:id="32" w:name="_Toc408490506"/>
      <w:bookmarkEnd w:id="32"/>
      <w:bookmarkStart w:id="33" w:name="_Toc408490624"/>
      <w:bookmarkEnd w:id="33"/>
      <w:bookmarkStart w:id="34" w:name="_Toc413834537"/>
      <w:bookmarkEnd w:id="34"/>
      <w:bookmarkStart w:id="35" w:name="_Toc408481407"/>
      <w:bookmarkEnd w:id="35"/>
      <w:bookmarkStart w:id="36" w:name="_Toc408481966"/>
      <w:bookmarkEnd w:id="36"/>
      <w:bookmarkStart w:id="37" w:name="_Toc408490451"/>
      <w:bookmarkEnd w:id="37"/>
      <w:bookmarkStart w:id="38" w:name="_Toc413834541"/>
      <w:bookmarkEnd w:id="38"/>
      <w:bookmarkStart w:id="39" w:name="_Toc408481533"/>
      <w:bookmarkEnd w:id="39"/>
      <w:bookmarkStart w:id="40" w:name="_Toc408489968"/>
      <w:bookmarkEnd w:id="40"/>
      <w:bookmarkStart w:id="41" w:name="_Toc413834540"/>
      <w:bookmarkEnd w:id="41"/>
      <w:bookmarkStart w:id="42" w:name="_Toc408489530"/>
      <w:bookmarkEnd w:id="42"/>
      <w:bookmarkStart w:id="43" w:name="_Toc408482225"/>
      <w:bookmarkEnd w:id="43"/>
      <w:bookmarkStart w:id="44" w:name="_Toc408490645"/>
      <w:bookmarkEnd w:id="44"/>
      <w:bookmarkStart w:id="45" w:name="_Toc408490006"/>
      <w:bookmarkEnd w:id="45"/>
      <w:bookmarkStart w:id="46" w:name="_Toc408489886"/>
      <w:bookmarkEnd w:id="46"/>
      <w:bookmarkStart w:id="47" w:name="_Toc408481223"/>
      <w:bookmarkEnd w:id="47"/>
      <w:bookmarkStart w:id="48" w:name="_Toc408490489"/>
      <w:bookmarkEnd w:id="48"/>
      <w:bookmarkStart w:id="49" w:name="_Toc408489470"/>
      <w:bookmarkEnd w:id="49"/>
      <w:bookmarkStart w:id="50" w:name="_Toc408481278"/>
      <w:bookmarkEnd w:id="50"/>
      <w:bookmarkStart w:id="51" w:name="_Toc408481352"/>
      <w:bookmarkEnd w:id="51"/>
      <w:bookmarkStart w:id="52" w:name="_Toc408482437"/>
      <w:bookmarkEnd w:id="52"/>
      <w:bookmarkStart w:id="53" w:name="_Toc408489509"/>
      <w:bookmarkEnd w:id="53"/>
      <w:bookmarkStart w:id="54" w:name="_Toc408482293"/>
      <w:bookmarkEnd w:id="54"/>
      <w:bookmarkStart w:id="55" w:name="_Toc408481451"/>
      <w:bookmarkEnd w:id="55"/>
      <w:bookmarkStart w:id="56" w:name="_Toc408490716"/>
      <w:bookmarkEnd w:id="56"/>
      <w:bookmarkStart w:id="57" w:name="_Toc408489989"/>
      <w:bookmarkEnd w:id="57"/>
      <w:bookmarkStart w:id="58" w:name="_Toc408489240"/>
      <w:bookmarkEnd w:id="58"/>
      <w:bookmarkStart w:id="59" w:name="_Toc408482417"/>
      <w:bookmarkEnd w:id="59"/>
      <w:bookmarkStart w:id="60" w:name="_Toc413834548"/>
      <w:bookmarkEnd w:id="60"/>
      <w:bookmarkStart w:id="61" w:name="_Toc413834549"/>
      <w:bookmarkEnd w:id="61"/>
      <w:bookmarkStart w:id="62" w:name="_Toc413834547"/>
      <w:bookmarkEnd w:id="62"/>
      <w:bookmarkStart w:id="63" w:name="_Toc413834542"/>
      <w:bookmarkEnd w:id="63"/>
      <w:bookmarkStart w:id="64" w:name="_Toc408490370"/>
      <w:bookmarkEnd w:id="64"/>
      <w:bookmarkStart w:id="65" w:name="_Toc408481807"/>
      <w:bookmarkEnd w:id="65"/>
      <w:bookmarkStart w:id="66" w:name="_Toc408489491"/>
      <w:bookmarkEnd w:id="66"/>
      <w:bookmarkStart w:id="67" w:name="_Toc408490027"/>
      <w:bookmarkEnd w:id="67"/>
      <w:bookmarkStart w:id="68" w:name="_Toc413834546"/>
      <w:bookmarkEnd w:id="68"/>
      <w:bookmarkStart w:id="69" w:name="_Toc408489951"/>
      <w:bookmarkEnd w:id="69"/>
      <w:bookmarkStart w:id="70" w:name="_Toc408481495"/>
      <w:bookmarkEnd w:id="70"/>
      <w:bookmarkStart w:id="71" w:name="_Toc408490413"/>
      <w:bookmarkEnd w:id="71"/>
      <w:bookmarkStart w:id="72" w:name="_Toc413834538"/>
      <w:bookmarkEnd w:id="72"/>
      <w:bookmarkStart w:id="73" w:name="_Toc408482055"/>
      <w:bookmarkEnd w:id="73"/>
      <w:bookmarkStart w:id="74" w:name="_Toc408502104"/>
      <w:bookmarkEnd w:id="74"/>
      <w:bookmarkStart w:id="75" w:name="_Toc408481987"/>
      <w:bookmarkEnd w:id="75"/>
      <w:bookmarkStart w:id="76" w:name="_Toc408490527"/>
      <w:bookmarkEnd w:id="76"/>
      <w:bookmarkStart w:id="77" w:name="_Toc408481331"/>
      <w:bookmarkEnd w:id="77"/>
      <w:bookmarkStart w:id="78" w:name="_Toc408490800"/>
      <w:bookmarkEnd w:id="78"/>
      <w:bookmarkStart w:id="79" w:name="_Toc408481068"/>
      <w:bookmarkEnd w:id="79"/>
      <w:bookmarkStart w:id="80" w:name="_Toc408481472"/>
      <w:bookmarkEnd w:id="80"/>
      <w:bookmarkStart w:id="81" w:name="_Toc408489431"/>
      <w:bookmarkEnd w:id="81"/>
      <w:bookmarkStart w:id="82" w:name="_Toc408481369"/>
      <w:bookmarkEnd w:id="82"/>
      <w:bookmarkStart w:id="83" w:name="_Toc408489452"/>
      <w:bookmarkEnd w:id="83"/>
      <w:bookmarkStart w:id="84" w:name="_Toc408489626"/>
      <w:bookmarkEnd w:id="84"/>
      <w:bookmarkStart w:id="85" w:name="_Toc408481390"/>
      <w:bookmarkEnd w:id="85"/>
      <w:bookmarkStart w:id="86" w:name="_Toc408481554"/>
      <w:bookmarkEnd w:id="86"/>
      <w:bookmarkStart w:id="87" w:name="_Toc408490468"/>
      <w:bookmarkEnd w:id="87"/>
      <w:bookmarkStart w:id="88" w:name="_Toc408502307"/>
      <w:bookmarkEnd w:id="88"/>
      <w:bookmarkStart w:id="89" w:name="_Toc413834545"/>
      <w:bookmarkEnd w:id="89"/>
      <w:bookmarkStart w:id="90" w:name="_Toc408481428"/>
      <w:bookmarkEnd w:id="90"/>
      <w:bookmarkStart w:id="91" w:name="_Toc408490572"/>
      <w:bookmarkEnd w:id="91"/>
      <w:bookmarkStart w:id="92" w:name="_Toc408482458"/>
      <w:bookmarkEnd w:id="92"/>
      <w:bookmarkStart w:id="93" w:name="_Toc408482246"/>
      <w:bookmarkEnd w:id="93"/>
      <w:bookmarkStart w:id="94" w:name="_Toc413834536"/>
      <w:bookmarkEnd w:id="94"/>
      <w:bookmarkStart w:id="95" w:name="_Toc408480910"/>
      <w:bookmarkEnd w:id="95"/>
      <w:bookmarkStart w:id="96" w:name="_Toc408490430"/>
      <w:bookmarkEnd w:id="96"/>
      <w:bookmarkStart w:id="97" w:name="_Toc413834543"/>
      <w:bookmarkEnd w:id="97"/>
      <w:bookmarkStart w:id="98" w:name="_Toc408482376"/>
      <w:bookmarkEnd w:id="98"/>
      <w:bookmarkStart w:id="99" w:name="_Toc408482396"/>
      <w:bookmarkEnd w:id="99"/>
      <w:bookmarkStart w:id="100" w:name="_Toc408481516"/>
      <w:bookmarkEnd w:id="100"/>
      <w:bookmarkStart w:id="101" w:name="_Toc408502286"/>
      <w:bookmarkEnd w:id="101"/>
      <w:bookmarkStart w:id="102" w:name="_Toc408489907"/>
      <w:bookmarkEnd w:id="102"/>
      <w:bookmarkStart w:id="103" w:name="_Toc408490392"/>
      <w:bookmarkEnd w:id="103"/>
      <w:bookmarkStart w:id="104" w:name="_Toc408482034"/>
      <w:bookmarkEnd w:id="104"/>
      <w:bookmarkStart w:id="105" w:name="_Toc408490349"/>
      <w:bookmarkEnd w:id="105"/>
      <w:bookmarkStart w:id="106" w:name="_Toc408490551"/>
      <w:bookmarkEnd w:id="106"/>
      <w:bookmarkStart w:id="107" w:name="_Toc408481299"/>
      <w:bookmarkEnd w:id="107"/>
      <w:bookmarkStart w:id="108" w:name="_Toc413834539"/>
      <w:bookmarkEnd w:id="108"/>
      <w:bookmarkStart w:id="109" w:name="_Toc408482314"/>
      <w:bookmarkEnd w:id="109"/>
      <w:bookmarkStart w:id="110" w:name="_Toc408480931"/>
      <w:bookmarkEnd w:id="110"/>
      <w:bookmarkStart w:id="111" w:name="_Toc1957"/>
      <w:bookmarkStart w:id="112" w:name="_Toc408490039"/>
      <w:bookmarkStart w:id="113" w:name="_Toc488674135"/>
      <w:bookmarkStart w:id="114" w:name="_Toc489377911"/>
      <w:bookmarkStart w:id="115" w:name="_Toc488674245"/>
      <w:bookmarkStart w:id="116" w:name="_Toc408482432"/>
      <w:bookmarkStart w:id="117" w:name="_Toc408482473"/>
      <w:bookmarkStart w:id="118" w:name="_Toc488674190"/>
      <w:bookmarkStart w:id="119" w:name="_Toc408489543"/>
      <w:bookmarkStart w:id="120" w:name="_Toc425846538"/>
      <w:r>
        <w:rPr>
          <w:rFonts w:hint="eastAsia" w:asciiTheme="minorEastAsia" w:hAnsiTheme="minorEastAsia" w:eastAsiaTheme="minorEastAsia" w:cstheme="minorEastAsia"/>
          <w:b/>
          <w:sz w:val="32"/>
          <w:szCs w:val="32"/>
        </w:rPr>
        <w:t>测试遗留问题及风险</w:t>
      </w:r>
      <w:bookmarkEnd w:id="111"/>
    </w:p>
    <w:p>
      <w:pPr>
        <w:pStyle w:val="32"/>
        <w:pageBreakBefore w:val="0"/>
        <w:kinsoku/>
        <w:wordWrap/>
        <w:overflowPunct/>
        <w:topLinePunct w:val="0"/>
        <w:autoSpaceDE/>
        <w:autoSpaceDN/>
        <w:bidi w:val="0"/>
        <w:adjustRightInd/>
        <w:snapToGrid/>
        <w:spacing w:line="360" w:lineRule="auto"/>
        <w:ind w:right="0" w:rightChars="0" w:firstLineChars="0"/>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详细描述测试过程中遗留的问题及这些问题可能带来的风险。</w:t>
      </w:r>
    </w:p>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21" w:name="_Toc659"/>
      <w:r>
        <w:rPr>
          <w:rFonts w:hint="eastAsia" w:asciiTheme="minorEastAsia" w:hAnsiTheme="minorEastAsia" w:eastAsiaTheme="minorEastAsia" w:cstheme="minorEastAsia"/>
          <w:lang w:val="en-US" w:eastAsia="zh-CN"/>
        </w:rPr>
        <w:t>6.1 测试遗留问题</w:t>
      </w:r>
      <w:bookmarkEnd w:id="121"/>
    </w:p>
    <w:tbl>
      <w:tblPr>
        <w:tblStyle w:val="25"/>
        <w:tblW w:w="997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
        <w:gridCol w:w="6358"/>
        <w:gridCol w:w="920"/>
        <w:gridCol w:w="93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缺陷编号</w:t>
            </w:r>
          </w:p>
        </w:tc>
        <w:tc>
          <w:tcPr>
            <w:tcW w:w="6358"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遗留问题描述</w:t>
            </w:r>
          </w:p>
        </w:tc>
        <w:tc>
          <w:tcPr>
            <w:tcW w:w="92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问题类型</w:t>
            </w:r>
          </w:p>
        </w:tc>
        <w:tc>
          <w:tcPr>
            <w:tcW w:w="93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问题提出人员</w:t>
            </w:r>
          </w:p>
        </w:tc>
        <w:tc>
          <w:tcPr>
            <w:tcW w:w="81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业务意见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80"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21679</w:t>
            </w:r>
          </w:p>
        </w:tc>
        <w:tc>
          <w:tcPr>
            <w:tcW w:w="635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【业务外呼-广赢卡任务列表】</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 xml:space="preserve">（1）多维排序需添加与标签一致的字段  </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（2）成功列表客户信息的标签栏也需要添加升序、降序或多维排序的功能。</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（3）草稿箱客户信息的标签栏也需要添加升序、降序或多维排序的功能。</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属于需求优化，若需要则在二期提需求进行实现；</w:t>
            </w:r>
          </w:p>
        </w:tc>
        <w:tc>
          <w:tcPr>
            <w:tcW w:w="9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需求优化</w:t>
            </w:r>
          </w:p>
        </w:tc>
        <w:tc>
          <w:tcPr>
            <w:tcW w:w="9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陈艳梅</w:t>
            </w:r>
          </w:p>
        </w:tc>
        <w:tc>
          <w:tcPr>
            <w:tcW w:w="8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21131</w:t>
            </w:r>
          </w:p>
        </w:tc>
        <w:tc>
          <w:tcPr>
            <w:tcW w:w="635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【报表】现金分期下单报表（员工），期望营销组别下拉列表只看现金分期所有组别；</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【BA意见】目前如营销组别不选则默认为选择所有组别，但是目前没有只看到现金分期业务下面的所有组别的，属于需求优化，若需要则在二期提需求进行实现；</w:t>
            </w:r>
          </w:p>
        </w:tc>
        <w:tc>
          <w:tcPr>
            <w:tcW w:w="9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需求优化</w:t>
            </w:r>
          </w:p>
        </w:tc>
        <w:tc>
          <w:tcPr>
            <w:tcW w:w="9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黄永康</w:t>
            </w:r>
          </w:p>
        </w:tc>
        <w:tc>
          <w:tcPr>
            <w:tcW w:w="8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关闭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2"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21161</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21162</w:t>
            </w:r>
          </w:p>
        </w:tc>
        <w:tc>
          <w:tcPr>
            <w:tcW w:w="6358"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【系统管理-参数配置页面】输入值目前无合法性校验，输入其他非法字符仍能成功；</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【BA意见】需求中未明确，旧电销也无此验证功能，若需要则在二期提需求进行实现；</w:t>
            </w:r>
          </w:p>
        </w:tc>
        <w:tc>
          <w:tcPr>
            <w:tcW w:w="9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需求优化</w:t>
            </w:r>
          </w:p>
        </w:tc>
        <w:tc>
          <w:tcPr>
            <w:tcW w:w="9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常胜</w:t>
            </w:r>
          </w:p>
        </w:tc>
        <w:tc>
          <w:tcPr>
            <w:tcW w:w="81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关闭</w:t>
            </w:r>
          </w:p>
        </w:tc>
      </w:tr>
    </w:tbl>
    <w:p>
      <w:pPr>
        <w:pStyle w:val="3"/>
        <w:pageBreakBefore w:val="0"/>
        <w:kinsoku/>
        <w:wordWrap/>
        <w:overflowPunct/>
        <w:topLinePunct w:val="0"/>
        <w:autoSpaceDE/>
        <w:autoSpaceDN/>
        <w:bidi w:val="0"/>
        <w:adjustRightInd/>
        <w:snapToGrid/>
        <w:spacing w:after="0" w:line="360" w:lineRule="auto"/>
        <w:ind w:right="0" w:rightChars="0"/>
        <w:rPr>
          <w:rFonts w:hint="eastAsia" w:asciiTheme="minorEastAsia" w:hAnsiTheme="minorEastAsia" w:eastAsiaTheme="minorEastAsia" w:cstheme="minorEastAsia"/>
          <w:lang w:val="en-US" w:eastAsia="zh-CN"/>
        </w:rPr>
      </w:pPr>
      <w:bookmarkStart w:id="122" w:name="_Toc14423"/>
      <w:r>
        <w:rPr>
          <w:rFonts w:hint="eastAsia" w:asciiTheme="minorEastAsia" w:hAnsiTheme="minorEastAsia" w:eastAsiaTheme="minorEastAsia" w:cstheme="minorEastAsia"/>
          <w:lang w:val="en-US" w:eastAsia="zh-CN"/>
        </w:rPr>
        <w:t>6.2 测试风险</w:t>
      </w:r>
      <w:bookmarkEnd w:id="122"/>
    </w:p>
    <w:tbl>
      <w:tblPr>
        <w:tblStyle w:val="25"/>
        <w:tblW w:w="10214"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
        <w:gridCol w:w="8137"/>
        <w:gridCol w:w="1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序号</w:t>
            </w:r>
          </w:p>
        </w:tc>
        <w:tc>
          <w:tcPr>
            <w:tcW w:w="8137"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风险问题描述</w:t>
            </w:r>
          </w:p>
        </w:tc>
        <w:tc>
          <w:tcPr>
            <w:tcW w:w="1117"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b/>
                <w:bCs/>
                <w:i w:val="0"/>
                <w:iCs w:val="0"/>
                <w:color w:val="000000"/>
                <w:sz w:val="22"/>
                <w:szCs w:val="22"/>
                <w:u w:val="none"/>
              </w:rPr>
            </w:pPr>
            <w:r>
              <w:rPr>
                <w:rFonts w:hint="eastAsia" w:asciiTheme="minorEastAsia" w:hAnsiTheme="minorEastAsia" w:eastAsiaTheme="minorEastAsia" w:cstheme="minorEastAsia"/>
                <w:b/>
                <w:bCs/>
                <w:i w:val="0"/>
                <w:iCs w:val="0"/>
                <w:color w:val="000000"/>
                <w:kern w:val="0"/>
                <w:sz w:val="22"/>
                <w:szCs w:val="22"/>
                <w:u w:val="none"/>
                <w:lang w:val="en-US" w:eastAsia="zh-CN"/>
              </w:rPr>
              <w:t>BA/业务意见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1</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【大数据CVM验证】由于测试环境的问题，测试环境CVM供数都是根据文件格式进行造数并上传至FTP，非通过全链路闭环产生；且测试数据少，会存在测试场景覆盖不全的情况；</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【解决措施】业务测试人员需要在大灰度测试环境关注改类的验证（如SAS导入、各业务场景成功列表的数据展示、报表的展示）</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8"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2</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话务条-话务机的验证】由于测试环境都是使用5位分机号进行拨号，涉及真实手机和固话，都是通过99+手机号/固话拨打，与生产环境有差异，话务相关的功能无法全面覆盖验证，且涉及到奥迪坚、Genesys话务平台（虽然此次不涉及话务平台的改造），所以该部分需要业务测试人员在灰度期间重点关注；</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6"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3</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【测试时间不足】由于测试环境的测试数据有限，且测试时间短，可能存在测试覆盖不全的情况，需要加大灰度验证的力度；</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2"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4</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【部分需求未实现】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1）催激活的“设置交易密码”“设置查询密码”未实行，需要在二期中实现；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2）预测式外呼功能未实现，会在后期中实现；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【BA意见】将可能在二期实现；</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8" w:hRule="atLeast"/>
        </w:trPr>
        <w:tc>
          <w:tcPr>
            <w:tcW w:w="96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5</w:t>
            </w:r>
          </w:p>
        </w:tc>
        <w:tc>
          <w:tcPr>
            <w:tcW w:w="813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【部分需求未实现】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1）催激活的“设置交易密码”“设置查询密码”未实行，需要在二期中实现；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2）预测式外呼功能未实现，会在后期中实现；</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3）部分不影响主流程类的验证功能点未实现（界面输入控件的校验），供应商已列出清单，需要业务确认</w:t>
            </w:r>
            <w:r>
              <w:rPr>
                <w:rFonts w:hint="eastAsia" w:asciiTheme="minorEastAsia" w:hAnsiTheme="minorEastAsia" w:eastAsiaTheme="minorEastAsia" w:cstheme="minorEastAsia"/>
                <w:i w:val="0"/>
                <w:iCs w:val="0"/>
                <w:color w:val="000000"/>
                <w:kern w:val="0"/>
                <w:sz w:val="22"/>
                <w:szCs w:val="22"/>
                <w:u w:val="none"/>
                <w:lang w:val="en-US" w:eastAsia="zh-CN"/>
              </w:rPr>
              <w:br w:type="textWrapping"/>
            </w:r>
            <w:r>
              <w:rPr>
                <w:rFonts w:hint="eastAsia" w:asciiTheme="minorEastAsia" w:hAnsiTheme="minorEastAsia" w:eastAsiaTheme="minorEastAsia" w:cstheme="minorEastAsia"/>
                <w:i w:val="0"/>
                <w:iCs w:val="0"/>
                <w:color w:val="000000"/>
                <w:kern w:val="0"/>
                <w:sz w:val="22"/>
                <w:szCs w:val="22"/>
                <w:u w:val="none"/>
                <w:lang w:val="en-US" w:eastAsia="zh-CN"/>
              </w:rPr>
              <w:t>【BA意见】将梳理对项目的影响，排期实现；</w:t>
            </w:r>
          </w:p>
        </w:tc>
        <w:tc>
          <w:tcPr>
            <w:tcW w:w="111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rPr>
              <w:t>同意</w:t>
            </w:r>
          </w:p>
        </w:tc>
      </w:tr>
    </w:tbl>
    <w:p>
      <w:pPr>
        <w:pStyle w:val="32"/>
        <w:pageBreakBefore w:val="0"/>
        <w:kinsoku/>
        <w:wordWrap/>
        <w:overflowPunct/>
        <w:topLinePunct w:val="0"/>
        <w:autoSpaceDE/>
        <w:autoSpaceDN/>
        <w:bidi w:val="0"/>
        <w:adjustRightInd/>
        <w:snapToGrid/>
        <w:spacing w:line="360" w:lineRule="auto"/>
        <w:ind w:left="0" w:leftChars="0" w:right="0" w:rightChars="0" w:firstLine="0" w:firstLineChars="0"/>
        <w:jc w:val="left"/>
        <w:rPr>
          <w:rFonts w:hint="eastAsia" w:asciiTheme="minorEastAsia" w:hAnsiTheme="minorEastAsia" w:eastAsiaTheme="minorEastAsia" w:cstheme="minorEastAsia"/>
          <w:sz w:val="24"/>
        </w:rPr>
      </w:pP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rPr>
      </w:pPr>
      <w:bookmarkStart w:id="123" w:name="_Toc5974"/>
      <w:bookmarkStart w:id="124" w:name="_Toc496690117"/>
      <w:bookmarkStart w:id="125" w:name="_Toc496690116"/>
      <w:r>
        <w:rPr>
          <w:rFonts w:hint="eastAsia" w:asciiTheme="minorEastAsia" w:hAnsiTheme="minorEastAsia" w:eastAsiaTheme="minorEastAsia" w:cstheme="minorEastAsia"/>
          <w:b/>
          <w:sz w:val="32"/>
          <w:szCs w:val="32"/>
        </w:rPr>
        <w:t>支持文件</w:t>
      </w:r>
      <w:bookmarkEnd w:id="123"/>
      <w:bookmarkEnd w:id="124"/>
    </w:p>
    <w:bookmarkEnd w:id="125"/>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包括案例、缺陷情况：《新电销重构系统_测试进度监控表20220517.xlsx》</w:t>
      </w:r>
    </w:p>
    <w:p>
      <w:pPr>
        <w:pStyle w:val="2"/>
        <w:pageBreakBefore w:val="0"/>
        <w:numPr>
          <w:ilvl w:val="0"/>
          <w:numId w:val="2"/>
        </w:numPr>
        <w:tabs>
          <w:tab w:val="left" w:pos="284"/>
        </w:tabs>
        <w:kinsoku/>
        <w:wordWrap/>
        <w:overflowPunct/>
        <w:topLinePunct w:val="0"/>
        <w:autoSpaceDE/>
        <w:autoSpaceDN/>
        <w:bidi w:val="0"/>
        <w:adjustRightInd/>
        <w:snapToGrid/>
        <w:spacing w:line="360" w:lineRule="auto"/>
        <w:ind w:left="0" w:right="0" w:rightChars="0" w:firstLine="0"/>
        <w:rPr>
          <w:rFonts w:hint="eastAsia" w:asciiTheme="minorEastAsia" w:hAnsiTheme="minorEastAsia" w:eastAsiaTheme="minorEastAsia" w:cstheme="minorEastAsia"/>
          <w:b/>
          <w:sz w:val="32"/>
          <w:szCs w:val="32"/>
          <w:lang w:eastAsia="zh-CN"/>
        </w:rPr>
      </w:pPr>
      <w:bookmarkStart w:id="126" w:name="_Toc23975"/>
      <w:r>
        <w:rPr>
          <w:rFonts w:hint="eastAsia" w:asciiTheme="minorEastAsia" w:hAnsiTheme="minorEastAsia" w:eastAsiaTheme="minorEastAsia" w:cstheme="minorEastAsia"/>
          <w:b/>
          <w:sz w:val="32"/>
          <w:szCs w:val="32"/>
        </w:rPr>
        <w:t>测试结论</w:t>
      </w:r>
      <w:bookmarkEnd w:id="126"/>
    </w:p>
    <w:tbl>
      <w:tblPr>
        <w:tblStyle w:val="25"/>
        <w:tblW w:w="967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2"/>
        <w:gridCol w:w="1167"/>
        <w:gridCol w:w="2359"/>
        <w:gridCol w:w="1515"/>
        <w:gridCol w:w="1530"/>
        <w:gridCol w:w="1083"/>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trPr>
        <w:tc>
          <w:tcPr>
            <w:tcW w:w="702"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序号</w:t>
            </w:r>
          </w:p>
        </w:tc>
        <w:tc>
          <w:tcPr>
            <w:tcW w:w="1167"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一级模块</w:t>
            </w:r>
          </w:p>
        </w:tc>
        <w:tc>
          <w:tcPr>
            <w:tcW w:w="2359"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二级模块</w:t>
            </w:r>
          </w:p>
        </w:tc>
        <w:tc>
          <w:tcPr>
            <w:tcW w:w="1515"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三级模块</w:t>
            </w:r>
          </w:p>
        </w:tc>
        <w:tc>
          <w:tcPr>
            <w:tcW w:w="153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rPr>
            </w:pPr>
            <w:r>
              <w:rPr>
                <w:rFonts w:hint="eastAsia" w:asciiTheme="minorEastAsia" w:hAnsiTheme="minorEastAsia" w:eastAsiaTheme="minorEastAsia" w:cstheme="minorEastAsia"/>
                <w:b/>
                <w:bCs/>
                <w:sz w:val="21"/>
                <w:szCs w:val="21"/>
                <w:shd w:val="clear" w:color="auto" w:fill="FFFFFF"/>
                <w:lang w:val="en-US" w:eastAsia="zh-CN"/>
              </w:rPr>
              <w:t>四级模块</w:t>
            </w:r>
          </w:p>
        </w:tc>
        <w:tc>
          <w:tcPr>
            <w:tcW w:w="1083"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测试人</w:t>
            </w:r>
          </w:p>
        </w:tc>
        <w:tc>
          <w:tcPr>
            <w:tcW w:w="1320" w:type="dxa"/>
            <w:tcBorders>
              <w:top w:val="single" w:color="000000" w:sz="4" w:space="0"/>
              <w:left w:val="single" w:color="000000" w:sz="4" w:space="0"/>
              <w:bottom w:val="single" w:color="000000" w:sz="4" w:space="0"/>
              <w:right w:val="single" w:color="000000" w:sz="4" w:space="0"/>
            </w:tcBorders>
            <w:shd w:val="clear" w:color="auto" w:fill="C3BD96"/>
            <w:vAlign w:val="center"/>
          </w:tcPr>
          <w:p>
            <w:pPr>
              <w:pageBreakBefore w:val="0"/>
              <w:kinsoku/>
              <w:wordWrap/>
              <w:overflowPunct/>
              <w:topLinePunct w:val="0"/>
              <w:autoSpaceDE/>
              <w:autoSpaceDN/>
              <w:bidi w:val="0"/>
              <w:adjustRightInd/>
              <w:snapToGrid/>
              <w:spacing w:line="360" w:lineRule="auto"/>
              <w:ind w:right="0" w:rightChars="0"/>
              <w:jc w:val="center"/>
              <w:rPr>
                <w:rFonts w:hint="eastAsia" w:asciiTheme="minorEastAsia" w:hAnsiTheme="minorEastAsia" w:eastAsiaTheme="minorEastAsia" w:cstheme="minorEastAsia"/>
                <w:b/>
                <w:bCs/>
                <w:sz w:val="21"/>
                <w:szCs w:val="21"/>
                <w:shd w:val="clear" w:color="auto" w:fill="FFFFFF"/>
                <w:lang w:val="en-US" w:eastAsia="zh-CN"/>
              </w:rPr>
            </w:pPr>
            <w:r>
              <w:rPr>
                <w:rFonts w:hint="eastAsia" w:asciiTheme="minorEastAsia" w:hAnsiTheme="minorEastAsia" w:eastAsiaTheme="minorEastAsia" w:cstheme="minorEastAsia"/>
                <w:b/>
                <w:bCs/>
                <w:sz w:val="21"/>
                <w:szCs w:val="21"/>
                <w:shd w:val="clear" w:color="auto" w:fill="FFFFFF"/>
                <w:lang w:val="en-US" w:eastAsia="zh-CN"/>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登录及其他</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kern w:val="2"/>
                <w:sz w:val="24"/>
                <w:lang w:val="en-US" w:eastAsia="zh-CN" w:bidi="ar-SA"/>
              </w:rPr>
              <w:t>登录</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nil"/>
              <w:left w:val="nil"/>
              <w:bottom w:val="nil"/>
              <w:right w:val="nil"/>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站内消息</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预约消息</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修改密码</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nil"/>
              <w:left w:val="nil"/>
              <w:bottom w:val="nil"/>
              <w:right w:val="nil"/>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话务条</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w:t>
            </w:r>
          </w:p>
        </w:tc>
        <w:tc>
          <w:tcPr>
            <w:tcW w:w="11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主页</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项目管理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数据导入模板管理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项目编号管理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表单管理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字段类别维护</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w:t>
            </w:r>
          </w:p>
        </w:tc>
        <w:tc>
          <w:tcPr>
            <w:tcW w:w="1167"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外呼结果标定义</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数据管理</w:t>
            </w: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数据导入</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SAS 导入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人工导入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导入规则执行</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中间库导入监控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生产库导入监控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生产库导入监控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2"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客服工单查询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网申工单查询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单条数据分配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批量数据分配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层级数据分配（数据管理员）</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层级数据分配（营销经理）</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层级数据分配（营销组长）</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层级分配数据修改</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自定义数据分配</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自定义数据分配管理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数据分配复审</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数据分配复审结果</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数据分配报表查询</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29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未分配数据查询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已分配数据查询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配额分配数据查询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奖励配额设置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数据分配日志</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层级数据分配日志</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数据回收</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参数配置（全局回收规则配置）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系统回收规则管理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手工回收</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自定义回收</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数据回收日志</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39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客户信息查询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40</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业务外呼</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我的配额</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数据状态查询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被推荐人信息查询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卡友推荐意向客户查询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普通发卡</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草稿箱</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资料完整未电核</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资料不完整</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49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复审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促激活</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催激活</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FF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卡片升级</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草稿箱</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广赢卡</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FF0000"/>
                <w:kern w:val="0"/>
                <w:sz w:val="21"/>
                <w:szCs w:val="21"/>
                <w:u w:val="none"/>
                <w:lang w:val="en-US" w:eastAsia="zh-CN"/>
              </w:rPr>
              <w:t>通过（存在一个遗留优化需求问题）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草稿箱</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59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复审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通用产品</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成功列表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67</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品质管理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质检点配置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质检问题分类</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69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质检任务抽取</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单条监听任务获取</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指定监听任务获取</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任务池抽取</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质检任务列表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质检任务管理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质检成功列表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质检得分查询（营销员）</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质检得分查询（营销组长）</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质检得分查询（营销经理）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工单质检</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测试通关</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79</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报表</w:t>
            </w: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数据管理报表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外呼结果报表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拒绝原因报表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发卡业务报表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卡友推荐获客区间报表（项目编号）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卡友推荐获客单日报表（员工）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卡友推荐获客区间报表（组别）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卡友推荐获客单日报表（组别）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发卡填表区间报表（项目编号）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发卡填表单日报表（员工）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89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发卡填表区间报表（组别）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发卡填表单日报表（组别）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消费分期业务报表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消费分期批核月报表（员工）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消费分期当日报表（组别）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消费分期区间报表（组别）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现金分期业务报表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现金分期下单报表（项目编号）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现金分期下单报表（员工）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现金分期下单报表（组别）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现金分期放款报表（项目编号）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99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现金分期放款报表（组别）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现金分期放款报表（员工）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现金分期审批报表（项目编号）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现金分期审批报表（组别）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现金分期审批报表（员工）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现金分期导入额度分布报表（项目编号）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现金分期导入额度分布报表（组别）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现金分期导入额度分布报表（员工）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话务分析单日报表（员工）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话务分析区间报表（员工）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109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话务分析单日报表（业务）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话务分析单日报表（组别）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话务分析报表（时间）</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话务监控</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话务异常轮询报表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品质管理报表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日常/专项监听量、品质得分统计表（员工）</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日常/专项监听量、品质得分统计表（组别）</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日常/专项质检问题分类统计表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日常/专项质检回访情况统计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日常/专项质检单日回访情况统计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119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工单质检-问题分类统计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工单质检-工单量统计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测试通关-工作量统计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测试通关-问题分类统计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大屏看板</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发卡业务图表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现金分期业务图表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消费分期业务图表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短信报表</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月度短信统计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短信列表</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128</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培训管理</w:t>
            </w: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话术管理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题库管理主界面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129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题库管理新增题目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题库管理删除题目</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题库管理中单个题目的查看</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题库管理中单个题目的编辑</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题库管理中单个题目的删除</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问卷管理主界面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问卷管理新增问卷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问卷管理删除问卷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问卷管理中单个问卷的查看</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问卷管理中单个问卷的编辑</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139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问卷管理中单个问卷的删除</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问卷管理中单个问卷的复制</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问卷管理中单个问卷的绑定任务查看</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知识库</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知识库所包含的功能</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知识检索</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知识树分类/知识树属性维度/我的审核/同义词/流程配置/知识列表管理/回收站</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操作日志/数据权限/文件管理/反馈管理</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个人业务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我的反馈/我的收藏/我的推荐</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培训考试</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我的培训考试</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培训考试分类</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149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课件管理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题库管理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试卷管理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计划管理</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在线阅卷</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考试统计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培训统计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错题统计</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158</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菜单维护</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159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数据字典管理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配置参数管理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公告管理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我的公告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跑马灯管理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IP 分机管理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禁止外呼名单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敏感客户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话术配置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信用卡类别管理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169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录音及话单查询权限管理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话单查询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我的话单查询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我的录音查询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项目编号转换管理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短信模板配置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工作日设置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敏感词配置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状态未明数据管理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179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EPPC 等本等费还款方式配置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看板日目标值设定（组别）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看板月目标值设定（团队）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182</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看板月目标值设定（组别）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个人业绩目标值配置（分期）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 xml:space="preserve">个人业绩目标值配置（发卡） </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保险工号配置</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186</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保险录音查询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187</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保险话单查询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188</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商品电销录音查询</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189</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BPO 项目数据平台用户管理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190</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定时任务管理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191</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系统操作日志记录</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192</w:t>
            </w:r>
          </w:p>
        </w:tc>
        <w:tc>
          <w:tcPr>
            <w:tcW w:w="1167" w:type="dxa"/>
            <w:vMerge w:val="restart"/>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账号权限管理</w:t>
            </w: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角色管理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restart"/>
            <w:tcBorders>
              <w:top w:val="single" w:color="000000" w:sz="4" w:space="0"/>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XX</w:t>
            </w: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193</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账号管理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194</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营销组管理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 w:hRule="atLeast"/>
        </w:trPr>
        <w:tc>
          <w:tcPr>
            <w:tcW w:w="702"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195</w:t>
            </w:r>
          </w:p>
        </w:tc>
        <w:tc>
          <w:tcPr>
            <w:tcW w:w="1167" w:type="dxa"/>
            <w:vMerge w:val="continue"/>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2359"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营销员工号信息管理</w:t>
            </w:r>
          </w:p>
        </w:tc>
        <w:tc>
          <w:tcPr>
            <w:tcW w:w="1515"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53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w:t>
            </w:r>
          </w:p>
        </w:tc>
        <w:tc>
          <w:tcPr>
            <w:tcW w:w="1083" w:type="dxa"/>
            <w:vMerge w:val="continue"/>
            <w:tcBorders>
              <w:left w:val="single" w:color="000000" w:sz="4" w:space="0"/>
              <w:bottom w:val="nil"/>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p>
        </w:tc>
        <w:tc>
          <w:tcPr>
            <w:tcW w:w="1320" w:type="dxa"/>
            <w:tcBorders>
              <w:top w:val="single" w:color="000000" w:sz="4" w:space="0"/>
              <w:left w:val="single" w:color="000000" w:sz="4" w:space="0"/>
              <w:bottom w:val="single" w:color="000000" w:sz="4" w:space="0"/>
              <w:right w:val="single" w:color="000000" w:sz="4" w:space="0"/>
            </w:tcBorders>
            <w:vAlign w:val="center"/>
          </w:tcPr>
          <w:p>
            <w:pPr>
              <w:pageBreakBefore w:val="0"/>
              <w:widowControl/>
              <w:kinsoku/>
              <w:wordWrap/>
              <w:overflowPunct/>
              <w:topLinePunct w:val="0"/>
              <w:autoSpaceDE/>
              <w:autoSpaceDN/>
              <w:bidi w:val="0"/>
              <w:adjustRightInd/>
              <w:snapToGrid/>
              <w:spacing w:line="360" w:lineRule="auto"/>
              <w:ind w:right="0" w:rightChars="0"/>
              <w:jc w:val="center"/>
              <w:textAlignment w:val="center"/>
              <w:rPr>
                <w:rFonts w:hint="eastAsia" w:asciiTheme="minorEastAsia" w:hAnsiTheme="minorEastAsia" w:eastAsiaTheme="minorEastAsia" w:cstheme="minorEastAsia"/>
                <w:i w:val="0"/>
                <w:iCs w:val="0"/>
                <w:color w:val="000000"/>
                <w:kern w:val="0"/>
                <w:sz w:val="21"/>
                <w:szCs w:val="21"/>
                <w:u w:val="none"/>
                <w:lang w:val="en-US" w:eastAsia="zh-CN"/>
              </w:rPr>
            </w:pPr>
            <w:r>
              <w:rPr>
                <w:rFonts w:hint="eastAsia" w:asciiTheme="minorEastAsia" w:hAnsiTheme="minorEastAsia" w:eastAsiaTheme="minorEastAsia" w:cstheme="minorEastAsia"/>
                <w:i w:val="0"/>
                <w:iCs w:val="0"/>
                <w:color w:val="000000"/>
                <w:kern w:val="0"/>
                <w:sz w:val="21"/>
                <w:szCs w:val="21"/>
                <w:u w:val="none"/>
                <w:lang w:val="en-US" w:eastAsia="zh-CN"/>
              </w:rPr>
              <w:t>通过</w:t>
            </w:r>
          </w:p>
        </w:tc>
      </w:tr>
    </w:tbl>
    <w:p>
      <w:pPr>
        <w:pStyle w:val="32"/>
        <w:pageBreakBefore w:val="0"/>
        <w:kinsoku/>
        <w:wordWrap/>
        <w:overflowPunct/>
        <w:topLinePunct w:val="0"/>
        <w:autoSpaceDE/>
        <w:autoSpaceDN/>
        <w:bidi w:val="0"/>
        <w:adjustRightInd/>
        <w:snapToGrid/>
        <w:spacing w:line="360" w:lineRule="auto"/>
        <w:ind w:left="0" w:leftChars="0" w:right="0" w:rightChars="0" w:firstLine="0" w:firstLineChars="0"/>
        <w:jc w:val="left"/>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注：</w:t>
      </w:r>
      <w:r>
        <w:rPr>
          <w:rFonts w:hint="eastAsia" w:asciiTheme="minorEastAsia" w:hAnsiTheme="minorEastAsia" w:eastAsiaTheme="minorEastAsia" w:cstheme="minorEastAsia"/>
          <w:sz w:val="24"/>
          <w:lang w:val="en-US" w:eastAsia="zh-CN"/>
        </w:rPr>
        <w:t xml:space="preserve"> </w:t>
      </w:r>
      <w:r>
        <w:rPr>
          <w:rFonts w:hint="eastAsia" w:asciiTheme="minorEastAsia" w:hAnsiTheme="minorEastAsia" w:eastAsiaTheme="minorEastAsia" w:cstheme="minorEastAsia"/>
          <w:sz w:val="24"/>
          <w:lang w:eastAsia="zh-CN"/>
        </w:rPr>
        <w:t>上述结果包括等额本金和快发需求的测试结果。</w:t>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eastAsia="zh-CN"/>
        </w:rPr>
        <w:t>经过</w:t>
      </w:r>
      <w:r>
        <w:rPr>
          <w:rFonts w:hint="eastAsia" w:asciiTheme="minorEastAsia" w:hAnsiTheme="minorEastAsia" w:eastAsiaTheme="minorEastAsia" w:cstheme="minorEastAsia"/>
          <w:sz w:val="24"/>
        </w:rPr>
        <w:t>本次</w:t>
      </w:r>
      <w:r>
        <w:rPr>
          <w:rFonts w:hint="eastAsia" w:asciiTheme="minorEastAsia" w:hAnsiTheme="minorEastAsia" w:eastAsiaTheme="minorEastAsia" w:cstheme="minorEastAsia"/>
          <w:sz w:val="24"/>
          <w:lang w:val="en-US" w:eastAsia="zh-CN"/>
        </w:rPr>
        <w:t>UAT业务</w:t>
      </w:r>
      <w:r>
        <w:rPr>
          <w:rFonts w:hint="eastAsia" w:asciiTheme="minorEastAsia" w:hAnsiTheme="minorEastAsia" w:eastAsiaTheme="minorEastAsia" w:cstheme="minorEastAsia"/>
          <w:sz w:val="24"/>
        </w:rPr>
        <w:t>测试</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同意</w:t>
      </w:r>
      <w:r>
        <w:rPr>
          <w:rFonts w:hint="eastAsia" w:asciiTheme="minorEastAsia" w:hAnsiTheme="minorEastAsia" w:eastAsiaTheme="minorEastAsia" w:cstheme="minorEastAsia"/>
          <w:sz w:val="24"/>
          <w:lang w:eastAsia="zh-CN"/>
        </w:rPr>
        <w:t>该项目</w:t>
      </w:r>
      <w:r>
        <w:rPr>
          <w:rFonts w:hint="eastAsia" w:asciiTheme="minorEastAsia" w:hAnsiTheme="minorEastAsia" w:eastAsiaTheme="minorEastAsia" w:cstheme="minorEastAsia"/>
          <w:sz w:val="24"/>
        </w:rPr>
        <w:t>上线</w:t>
      </w:r>
      <w:r>
        <w:rPr>
          <w:rFonts w:hint="eastAsia" w:asciiTheme="minorEastAsia" w:hAnsiTheme="minorEastAsia" w:eastAsiaTheme="minorEastAsia" w:cstheme="minorEastAsia"/>
          <w:sz w:val="24"/>
          <w:lang w:eastAsia="zh-CN"/>
        </w:rPr>
        <w:t>。</w:t>
      </w: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p>
    <w:p>
      <w:pPr>
        <w:pageBreakBefore w:val="0"/>
        <w:kinsoku/>
        <w:wordWrap/>
        <w:overflowPunct/>
        <w:topLinePunct w:val="0"/>
        <w:autoSpaceDE/>
        <w:autoSpaceDN/>
        <w:bidi w:val="0"/>
        <w:adjustRightInd/>
        <w:snapToGrid/>
        <w:spacing w:line="360" w:lineRule="auto"/>
        <w:ind w:right="0" w:rightChars="0"/>
        <w:rPr>
          <w:rFonts w:hint="eastAsia" w:asciiTheme="minorEastAsia" w:hAnsiTheme="minorEastAsia" w:eastAsiaTheme="minorEastAsia" w:cstheme="minorEastAsia"/>
          <w:sz w:val="24"/>
          <w:lang w:eastAsia="zh-CN"/>
        </w:rPr>
      </w:pPr>
    </w:p>
    <w:p>
      <w:pPr>
        <w:pageBreakBefore w:val="0"/>
        <w:kinsoku/>
        <w:wordWrap/>
        <w:overflowPunct/>
        <w:topLinePunct w:val="0"/>
        <w:autoSpaceDE/>
        <w:autoSpaceDN/>
        <w:bidi w:val="0"/>
        <w:adjustRightInd/>
        <w:snapToGrid/>
        <w:spacing w:line="360" w:lineRule="auto"/>
        <w:ind w:right="0" w:rightChars="0"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项目经理签字：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测试负责人签字：</w:t>
      </w:r>
      <w:bookmarkEnd w:id="112"/>
      <w:bookmarkEnd w:id="113"/>
      <w:bookmarkEnd w:id="114"/>
      <w:bookmarkEnd w:id="115"/>
      <w:bookmarkEnd w:id="116"/>
      <w:bookmarkEnd w:id="117"/>
      <w:bookmarkEnd w:id="118"/>
      <w:bookmarkEnd w:id="119"/>
      <w:bookmarkEnd w:id="120"/>
    </w:p>
    <w:sectPr>
      <w:headerReference r:id="rId5" w:type="default"/>
      <w:footerReference r:id="rId6" w:type="default"/>
      <w:pgSz w:w="11906" w:h="16838"/>
      <w:pgMar w:top="851" w:right="1077" w:bottom="851" w:left="1077" w:header="1021" w:footer="397"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modern"/>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hint="eastAsia" w:eastAsia="宋体"/>
        <w:sz w:val="20"/>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Bdr>
        <w:left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2072F"/>
    <w:multiLevelType w:val="singleLevel"/>
    <w:tmpl w:val="91F2072F"/>
    <w:lvl w:ilvl="0" w:tentative="0">
      <w:start w:val="1"/>
      <w:numFmt w:val="bullet"/>
      <w:lvlText w:val=""/>
      <w:lvlJc w:val="left"/>
      <w:pPr>
        <w:ind w:left="420" w:hanging="420"/>
      </w:pPr>
      <w:rPr>
        <w:rFonts w:hint="default" w:ascii="Wingdings" w:hAnsi="Wingdings"/>
      </w:rPr>
    </w:lvl>
  </w:abstractNum>
  <w:abstractNum w:abstractNumId="1">
    <w:nsid w:val="9DB90403"/>
    <w:multiLevelType w:val="singleLevel"/>
    <w:tmpl w:val="9DB90403"/>
    <w:lvl w:ilvl="0" w:tentative="0">
      <w:start w:val="1"/>
      <w:numFmt w:val="decimal"/>
      <w:suff w:val="nothing"/>
      <w:lvlText w:val="%1、"/>
      <w:lvlJc w:val="left"/>
    </w:lvl>
  </w:abstractNum>
  <w:abstractNum w:abstractNumId="2">
    <w:nsid w:val="D9E9C8A4"/>
    <w:multiLevelType w:val="singleLevel"/>
    <w:tmpl w:val="D9E9C8A4"/>
    <w:lvl w:ilvl="0" w:tentative="0">
      <w:start w:val="2"/>
      <w:numFmt w:val="decimal"/>
      <w:suff w:val="nothing"/>
      <w:lvlText w:val="%1、"/>
      <w:lvlJc w:val="left"/>
    </w:lvl>
  </w:abstractNum>
  <w:abstractNum w:abstractNumId="3">
    <w:nsid w:val="F921CE6B"/>
    <w:multiLevelType w:val="singleLevel"/>
    <w:tmpl w:val="F921CE6B"/>
    <w:lvl w:ilvl="0" w:tentative="0">
      <w:start w:val="1"/>
      <w:numFmt w:val="decimal"/>
      <w:suff w:val="nothing"/>
      <w:lvlText w:val="%1、"/>
      <w:lvlJc w:val="left"/>
    </w:lvl>
  </w:abstractNum>
  <w:abstractNum w:abstractNumId="4">
    <w:nsid w:val="FDEF8992"/>
    <w:multiLevelType w:val="singleLevel"/>
    <w:tmpl w:val="FDEF8992"/>
    <w:lvl w:ilvl="0" w:tentative="0">
      <w:start w:val="1"/>
      <w:numFmt w:val="decimal"/>
      <w:suff w:val="nothing"/>
      <w:lvlText w:val="%1、"/>
      <w:lvlJc w:val="left"/>
      <w:pPr>
        <w:ind w:left="240"/>
      </w:pPr>
    </w:lvl>
  </w:abstractNum>
  <w:abstractNum w:abstractNumId="5">
    <w:nsid w:val="FECACC0A"/>
    <w:multiLevelType w:val="singleLevel"/>
    <w:tmpl w:val="FECACC0A"/>
    <w:lvl w:ilvl="0" w:tentative="0">
      <w:start w:val="1"/>
      <w:numFmt w:val="decimal"/>
      <w:suff w:val="nothing"/>
      <w:lvlText w:val="%1、"/>
      <w:lvlJc w:val="left"/>
    </w:lvl>
  </w:abstractNum>
  <w:abstractNum w:abstractNumId="6">
    <w:nsid w:val="00000007"/>
    <w:multiLevelType w:val="multilevel"/>
    <w:tmpl w:val="00000007"/>
    <w:lvl w:ilvl="0" w:tentative="0">
      <w:start w:val="1"/>
      <w:numFmt w:val="decimal"/>
      <w:pStyle w:val="2"/>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09"/>
    <w:multiLevelType w:val="multilevel"/>
    <w:tmpl w:val="00000009"/>
    <w:lvl w:ilvl="0" w:tentative="0">
      <w:start w:val="1"/>
      <w:numFmt w:val="decimal"/>
      <w:lvlText w:val="%1."/>
      <w:lvlJc w:val="left"/>
      <w:pPr>
        <w:ind w:left="709" w:hanging="425"/>
      </w:pPr>
      <w:rPr>
        <w:rFonts w:hint="eastAsia"/>
      </w:rPr>
    </w:lvl>
    <w:lvl w:ilvl="1" w:tentative="0">
      <w:start w:val="1"/>
      <w:numFmt w:val="decimal"/>
      <w:lvlText w:val="%1.%2"/>
      <w:lvlJc w:val="left"/>
      <w:pPr>
        <w:ind w:left="425" w:hanging="425"/>
      </w:pPr>
      <w:rPr>
        <w:rFonts w:hint="eastAsia"/>
      </w:rPr>
    </w:lvl>
    <w:lvl w:ilvl="2" w:tentative="0">
      <w:start w:val="1"/>
      <w:numFmt w:val="decimal"/>
      <w:lvlText w:val="%1.%2.%3"/>
      <w:lvlJc w:val="left"/>
      <w:pPr>
        <w:ind w:left="737" w:hanging="737"/>
      </w:pPr>
      <w:rPr>
        <w:rFonts w:hint="eastAsia"/>
      </w:rPr>
    </w:lvl>
    <w:lvl w:ilvl="3" w:tentative="0">
      <w:start w:val="1"/>
      <w:numFmt w:val="none"/>
      <w:lvlText w:val="（1）"/>
      <w:lvlJc w:val="left"/>
      <w:pPr>
        <w:ind w:left="1361" w:hanging="624"/>
      </w:pPr>
      <w:rPr>
        <w:rFonts w:hint="eastAsia"/>
        <w:b w:val="0"/>
      </w:rPr>
    </w:lvl>
    <w:lvl w:ilvl="4" w:tentative="0">
      <w:start w:val="1"/>
      <w:numFmt w:val="none"/>
      <w:lvlText w:val="A"/>
      <w:lvlJc w:val="left"/>
      <w:pPr>
        <w:tabs>
          <w:tab w:val="left" w:pos="7371"/>
        </w:tabs>
        <w:ind w:left="1361" w:hanging="397"/>
      </w:pPr>
      <w:rPr>
        <w:rFonts w:hint="eastAsia"/>
      </w:rPr>
    </w:lvl>
    <w:lvl w:ilvl="5" w:tentative="0">
      <w:start w:val="1"/>
      <w:numFmt w:val="none"/>
      <w:lvlText w:val="a"/>
      <w:lvlJc w:val="left"/>
      <w:pPr>
        <w:ind w:left="1361" w:hanging="397"/>
      </w:pPr>
      <w:rPr>
        <w:rFonts w:hint="eastAsia" w:eastAsia="宋体"/>
        <w:sz w:val="24"/>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8">
    <w:nsid w:val="0DCC7329"/>
    <w:multiLevelType w:val="singleLevel"/>
    <w:tmpl w:val="0DCC7329"/>
    <w:lvl w:ilvl="0" w:tentative="0">
      <w:start w:val="1"/>
      <w:numFmt w:val="decimal"/>
      <w:suff w:val="nothing"/>
      <w:lvlText w:val="%1、"/>
      <w:lvlJc w:val="left"/>
    </w:lvl>
  </w:abstractNum>
  <w:abstractNum w:abstractNumId="9">
    <w:nsid w:val="31280725"/>
    <w:multiLevelType w:val="singleLevel"/>
    <w:tmpl w:val="31280725"/>
    <w:lvl w:ilvl="0" w:tentative="0">
      <w:start w:val="1"/>
      <w:numFmt w:val="bullet"/>
      <w:lvlText w:val=""/>
      <w:lvlJc w:val="left"/>
      <w:pPr>
        <w:ind w:left="420" w:hanging="420"/>
      </w:pPr>
      <w:rPr>
        <w:rFonts w:hint="default" w:ascii="Wingdings" w:hAnsi="Wingdings"/>
      </w:rPr>
    </w:lvl>
  </w:abstractNum>
  <w:num w:numId="1">
    <w:abstractNumId w:val="6"/>
  </w:num>
  <w:num w:numId="2">
    <w:abstractNumId w:val="7"/>
  </w:num>
  <w:num w:numId="3">
    <w:abstractNumId w:val="0"/>
  </w:num>
  <w:num w:numId="4">
    <w:abstractNumId w:val="9"/>
  </w:num>
  <w:num w:numId="5">
    <w:abstractNumId w:val="2"/>
  </w:num>
  <w:num w:numId="6">
    <w:abstractNumId w:val="4"/>
  </w:num>
  <w:num w:numId="7">
    <w:abstractNumId w:val="8"/>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docVars>
    <w:docVar w:name="commondata" w:val="eyJoZGlkIjoiNWExMWU5NzM0MTljYTMzZDAxMDM5OGI2NmUxZWE2OTcifQ=="/>
  </w:docVars>
  <w:rsids>
    <w:rsidRoot w:val="00000000"/>
    <w:rsid w:val="02990599"/>
    <w:rsid w:val="0591421F"/>
    <w:rsid w:val="0B1838CE"/>
    <w:rsid w:val="11D9279D"/>
    <w:rsid w:val="12573676"/>
    <w:rsid w:val="16C02AB4"/>
    <w:rsid w:val="177E3FF8"/>
    <w:rsid w:val="3092764F"/>
    <w:rsid w:val="3DF63C40"/>
    <w:rsid w:val="4B857487"/>
    <w:rsid w:val="63D23266"/>
    <w:rsid w:val="6B836E00"/>
    <w:rsid w:val="6E8D28C9"/>
    <w:rsid w:val="764932C4"/>
    <w:rsid w:val="76AF10A0"/>
    <w:rsid w:val="789359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iPriority="99" w:semiHidden="0" w:name="annotation text"/>
    <w:lsdException w:qFormat="1" w:unhideWhenUsed="0" w:uiPriority="99" w:semiHidden="0" w:name="header"/>
    <w:lsdException w:qFormat="1"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qFormat="1" w:uiPriority="99"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iPriority="99"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bCs/>
      <w:sz w:val="28"/>
      <w:szCs w:val="24"/>
    </w:rPr>
  </w:style>
  <w:style w:type="paragraph" w:styleId="3">
    <w:name w:val="heading 2"/>
    <w:basedOn w:val="1"/>
    <w:next w:val="4"/>
    <w:link w:val="41"/>
    <w:qFormat/>
    <w:uiPriority w:val="0"/>
    <w:pPr>
      <w:keepNext/>
      <w:keepLines/>
      <w:spacing w:before="260" w:after="260" w:line="416" w:lineRule="auto"/>
      <w:outlineLvl w:val="1"/>
    </w:pPr>
    <w:rPr>
      <w:rFonts w:ascii="Arial" w:hAnsi="Arial" w:eastAsia="黑体"/>
      <w:b/>
      <w:bCs/>
      <w:sz w:val="32"/>
      <w:szCs w:val="32"/>
    </w:rPr>
  </w:style>
  <w:style w:type="paragraph" w:styleId="6">
    <w:name w:val="heading 3"/>
    <w:basedOn w:val="1"/>
    <w:next w:val="1"/>
    <w:link w:val="39"/>
    <w:qFormat/>
    <w:uiPriority w:val="0"/>
    <w:pPr>
      <w:keepNext/>
      <w:keepLines/>
      <w:spacing w:before="260" w:after="260" w:line="416" w:lineRule="auto"/>
      <w:outlineLvl w:val="2"/>
    </w:pPr>
    <w:rPr>
      <w:b/>
      <w:bCs/>
      <w:sz w:val="32"/>
      <w:szCs w:val="32"/>
    </w:rPr>
  </w:style>
  <w:style w:type="paragraph" w:styleId="7">
    <w:name w:val="heading 4"/>
    <w:basedOn w:val="1"/>
    <w:next w:val="1"/>
    <w:link w:val="44"/>
    <w:qFormat/>
    <w:uiPriority w:val="0"/>
    <w:pPr>
      <w:keepNext/>
      <w:keepLines/>
      <w:spacing w:before="280" w:after="290" w:line="376" w:lineRule="auto"/>
      <w:outlineLvl w:val="3"/>
    </w:pPr>
    <w:rPr>
      <w:rFonts w:ascii="Cambria" w:hAnsi="Cambria"/>
      <w:b/>
      <w:bCs/>
      <w:sz w:val="28"/>
      <w:szCs w:val="28"/>
    </w:rPr>
  </w:style>
  <w:style w:type="character" w:default="1" w:styleId="26">
    <w:name w:val="Default Paragraph Font"/>
    <w:unhideWhenUsed/>
    <w:qFormat/>
    <w:uiPriority w:val="1"/>
  </w:style>
  <w:style w:type="table" w:default="1" w:styleId="25">
    <w:name w:val="Normal Table"/>
    <w:unhideWhenUsed/>
    <w:qFormat/>
    <w:uiPriority w:val="99"/>
    <w:tblPr>
      <w:tblCellMar>
        <w:top w:w="0" w:type="dxa"/>
        <w:left w:w="108" w:type="dxa"/>
        <w:bottom w:w="0" w:type="dxa"/>
        <w:right w:w="108" w:type="dxa"/>
      </w:tblCellMar>
    </w:tblPr>
  </w:style>
  <w:style w:type="paragraph" w:styleId="4">
    <w:name w:val="Body Text First Indent"/>
    <w:basedOn w:val="5"/>
    <w:unhideWhenUsed/>
    <w:qFormat/>
    <w:uiPriority w:val="99"/>
    <w:pPr>
      <w:ind w:firstLine="420" w:firstLineChars="100"/>
    </w:pPr>
  </w:style>
  <w:style w:type="paragraph" w:styleId="5">
    <w:name w:val="Body Text"/>
    <w:basedOn w:val="1"/>
    <w:unhideWhenUsed/>
    <w:qFormat/>
    <w:uiPriority w:val="99"/>
    <w:pPr>
      <w:spacing w:after="120" w:afterAutospacing="0"/>
    </w:pPr>
  </w:style>
  <w:style w:type="paragraph" w:styleId="8">
    <w:name w:val="toc 7"/>
    <w:basedOn w:val="1"/>
    <w:next w:val="1"/>
    <w:qFormat/>
    <w:uiPriority w:val="0"/>
    <w:pPr>
      <w:ind w:left="1260"/>
      <w:jc w:val="left"/>
    </w:pPr>
    <w:rPr>
      <w:rFonts w:ascii="Calibri" w:hAnsi="Calibri" w:cs="Calibri"/>
      <w:sz w:val="18"/>
      <w:szCs w:val="18"/>
    </w:rPr>
  </w:style>
  <w:style w:type="paragraph" w:styleId="9">
    <w:name w:val="Normal Indent"/>
    <w:basedOn w:val="1"/>
    <w:qFormat/>
    <w:uiPriority w:val="0"/>
    <w:pPr>
      <w:ind w:firstLine="420"/>
    </w:pPr>
  </w:style>
  <w:style w:type="paragraph" w:styleId="10">
    <w:name w:val="Document Map"/>
    <w:basedOn w:val="1"/>
    <w:link w:val="38"/>
    <w:qFormat/>
    <w:uiPriority w:val="0"/>
    <w:rPr>
      <w:rFonts w:ascii="宋体"/>
      <w:sz w:val="18"/>
      <w:szCs w:val="18"/>
    </w:rPr>
  </w:style>
  <w:style w:type="paragraph" w:styleId="11">
    <w:name w:val="annotation text"/>
    <w:basedOn w:val="1"/>
    <w:link w:val="42"/>
    <w:unhideWhenUsed/>
    <w:qFormat/>
    <w:uiPriority w:val="99"/>
    <w:pPr>
      <w:jc w:val="left"/>
    </w:pPr>
  </w:style>
  <w:style w:type="paragraph" w:styleId="12">
    <w:name w:val="Body Text Indent"/>
    <w:basedOn w:val="1"/>
    <w:link w:val="43"/>
    <w:qFormat/>
    <w:uiPriority w:val="0"/>
    <w:pPr>
      <w:spacing w:line="360" w:lineRule="auto"/>
      <w:ind w:firstLine="480" w:firstLineChars="200"/>
    </w:pPr>
    <w:rPr>
      <w:color w:val="000000"/>
      <w:sz w:val="24"/>
      <w:szCs w:val="24"/>
    </w:rPr>
  </w:style>
  <w:style w:type="paragraph" w:styleId="13">
    <w:name w:val="toc 5"/>
    <w:basedOn w:val="1"/>
    <w:next w:val="1"/>
    <w:qFormat/>
    <w:uiPriority w:val="0"/>
    <w:pPr>
      <w:ind w:left="840"/>
      <w:jc w:val="left"/>
    </w:pPr>
    <w:rPr>
      <w:rFonts w:ascii="Calibri" w:hAnsi="Calibri" w:cs="Calibri"/>
      <w:sz w:val="18"/>
      <w:szCs w:val="18"/>
    </w:rPr>
  </w:style>
  <w:style w:type="paragraph" w:styleId="14">
    <w:name w:val="toc 3"/>
    <w:basedOn w:val="1"/>
    <w:next w:val="1"/>
    <w:qFormat/>
    <w:uiPriority w:val="39"/>
    <w:pPr>
      <w:ind w:left="420"/>
      <w:jc w:val="left"/>
    </w:pPr>
    <w:rPr>
      <w:rFonts w:ascii="Calibri" w:hAnsi="Calibri" w:cs="Calibri"/>
      <w:i/>
      <w:iCs/>
      <w:sz w:val="20"/>
    </w:rPr>
  </w:style>
  <w:style w:type="paragraph" w:styleId="15">
    <w:name w:val="toc 8"/>
    <w:basedOn w:val="1"/>
    <w:next w:val="1"/>
    <w:qFormat/>
    <w:uiPriority w:val="0"/>
    <w:pPr>
      <w:ind w:left="1470"/>
      <w:jc w:val="left"/>
    </w:pPr>
    <w:rPr>
      <w:rFonts w:ascii="Calibri" w:hAnsi="Calibri" w:cs="Calibri"/>
      <w:sz w:val="18"/>
      <w:szCs w:val="18"/>
    </w:rPr>
  </w:style>
  <w:style w:type="paragraph" w:styleId="16">
    <w:name w:val="Balloon Text"/>
    <w:basedOn w:val="1"/>
    <w:link w:val="40"/>
    <w:qFormat/>
    <w:uiPriority w:val="0"/>
    <w:rPr>
      <w:sz w:val="18"/>
      <w:szCs w:val="18"/>
    </w:rPr>
  </w:style>
  <w:style w:type="paragraph" w:styleId="17">
    <w:name w:val="footer"/>
    <w:basedOn w:val="1"/>
    <w:link w:val="46"/>
    <w:qFormat/>
    <w:uiPriority w:val="99"/>
    <w:pPr>
      <w:tabs>
        <w:tab w:val="center" w:pos="4153"/>
        <w:tab w:val="right" w:pos="8306"/>
      </w:tabs>
      <w:snapToGrid w:val="0"/>
      <w:jc w:val="left"/>
    </w:pPr>
    <w:rPr>
      <w:sz w:val="18"/>
    </w:rPr>
  </w:style>
  <w:style w:type="paragraph" w:styleId="18">
    <w:name w:val="header"/>
    <w:basedOn w:val="1"/>
    <w:link w:val="4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link w:val="45"/>
    <w:qFormat/>
    <w:uiPriority w:val="0"/>
    <w:rPr>
      <w:rFonts w:ascii="Calibri" w:hAnsi="Calibri"/>
      <w:bCs/>
      <w:caps/>
      <w:sz w:val="24"/>
    </w:rPr>
  </w:style>
  <w:style w:type="paragraph" w:styleId="20">
    <w:name w:val="toc 4"/>
    <w:basedOn w:val="1"/>
    <w:next w:val="1"/>
    <w:qFormat/>
    <w:uiPriority w:val="0"/>
    <w:pPr>
      <w:ind w:left="630"/>
      <w:jc w:val="left"/>
    </w:pPr>
    <w:rPr>
      <w:rFonts w:ascii="Calibri" w:hAnsi="Calibri" w:cs="Calibri"/>
      <w:sz w:val="18"/>
      <w:szCs w:val="18"/>
    </w:rPr>
  </w:style>
  <w:style w:type="paragraph" w:styleId="21">
    <w:name w:val="toc 6"/>
    <w:basedOn w:val="1"/>
    <w:next w:val="1"/>
    <w:qFormat/>
    <w:uiPriority w:val="0"/>
    <w:pPr>
      <w:ind w:left="1050"/>
      <w:jc w:val="left"/>
    </w:pPr>
    <w:rPr>
      <w:rFonts w:ascii="Calibri" w:hAnsi="Calibri" w:cs="Calibri"/>
      <w:sz w:val="18"/>
      <w:szCs w:val="18"/>
    </w:rPr>
  </w:style>
  <w:style w:type="paragraph" w:styleId="22">
    <w:name w:val="toc 2"/>
    <w:basedOn w:val="1"/>
    <w:next w:val="1"/>
    <w:qFormat/>
    <w:uiPriority w:val="39"/>
    <w:pPr>
      <w:ind w:left="200" w:leftChars="200"/>
    </w:pPr>
    <w:rPr>
      <w:rFonts w:ascii="Calibri" w:hAnsi="Calibri" w:cs="Calibri"/>
      <w:smallCaps/>
      <w:sz w:val="24"/>
    </w:rPr>
  </w:style>
  <w:style w:type="paragraph" w:styleId="23">
    <w:name w:val="toc 9"/>
    <w:basedOn w:val="1"/>
    <w:next w:val="1"/>
    <w:qFormat/>
    <w:uiPriority w:val="0"/>
    <w:pPr>
      <w:ind w:left="1680"/>
      <w:jc w:val="left"/>
    </w:pPr>
    <w:rPr>
      <w:rFonts w:ascii="Calibri" w:hAnsi="Calibri" w:cs="Calibri"/>
      <w:sz w:val="18"/>
      <w:szCs w:val="18"/>
    </w:rPr>
  </w:style>
  <w:style w:type="paragraph" w:styleId="24">
    <w:name w:val="annotation subject"/>
    <w:basedOn w:val="11"/>
    <w:next w:val="11"/>
    <w:link w:val="36"/>
    <w:unhideWhenUsed/>
    <w:qFormat/>
    <w:uiPriority w:val="99"/>
    <w:rPr>
      <w:b/>
      <w:bCs/>
    </w:rPr>
  </w:style>
  <w:style w:type="character" w:styleId="27">
    <w:name w:val="Hyperlink"/>
    <w:qFormat/>
    <w:uiPriority w:val="99"/>
    <w:rPr>
      <w:color w:val="0000FF"/>
      <w:u w:val="single"/>
    </w:rPr>
  </w:style>
  <w:style w:type="character" w:styleId="28">
    <w:name w:val="annotation reference"/>
    <w:unhideWhenUsed/>
    <w:qFormat/>
    <w:uiPriority w:val="99"/>
    <w:rPr>
      <w:sz w:val="21"/>
      <w:szCs w:val="21"/>
    </w:rPr>
  </w:style>
  <w:style w:type="paragraph" w:customStyle="1" w:styleId="29">
    <w:name w:val="列出段落1"/>
    <w:basedOn w:val="1"/>
    <w:qFormat/>
    <w:uiPriority w:val="0"/>
    <w:pPr>
      <w:ind w:firstLine="420" w:firstLineChars="200"/>
    </w:pPr>
    <w:rPr>
      <w:szCs w:val="24"/>
    </w:rPr>
  </w:style>
  <w:style w:type="paragraph" w:customStyle="1" w:styleId="30">
    <w:name w:val="修订1"/>
    <w:qFormat/>
    <w:uiPriority w:val="0"/>
    <w:rPr>
      <w:rFonts w:ascii="Times New Roman" w:hAnsi="Times New Roman" w:eastAsia="宋体" w:cs="Times New Roman"/>
      <w:kern w:val="2"/>
      <w:sz w:val="21"/>
      <w:lang w:val="en-US" w:eastAsia="zh-CN" w:bidi="ar-SA"/>
    </w:rPr>
  </w:style>
  <w:style w:type="paragraph" w:customStyle="1" w:styleId="31">
    <w:name w:val="TOC 标题1"/>
    <w:basedOn w:val="2"/>
    <w:next w:val="1"/>
    <w:unhideWhenUsed/>
    <w:qFormat/>
    <w:uiPriority w:val="39"/>
    <w:pPr>
      <w:keepLines/>
      <w:widowControl/>
      <w:numPr>
        <w:ilvl w:val="0"/>
        <w:numId w:val="0"/>
      </w:numPr>
      <w:spacing w:before="240" w:line="259" w:lineRule="auto"/>
      <w:jc w:val="left"/>
      <w:outlineLvl w:val="9"/>
    </w:pPr>
    <w:rPr>
      <w:rFonts w:ascii="Calibri Light" w:hAnsi="Calibri Light"/>
      <w:bCs w:val="0"/>
      <w:color w:val="2E74B5"/>
      <w:kern w:val="0"/>
      <w:sz w:val="32"/>
      <w:szCs w:val="32"/>
    </w:rPr>
  </w:style>
  <w:style w:type="paragraph" w:customStyle="1" w:styleId="32">
    <w:name w:val="列出段落11"/>
    <w:basedOn w:val="1"/>
    <w:qFormat/>
    <w:uiPriority w:val="0"/>
    <w:pPr>
      <w:ind w:firstLine="420" w:firstLineChars="200"/>
    </w:pPr>
    <w:rPr>
      <w:szCs w:val="24"/>
    </w:rPr>
  </w:style>
  <w:style w:type="paragraph" w:customStyle="1" w:styleId="33">
    <w:name w:val="正文+首行缩进2 字符"/>
    <w:basedOn w:val="1"/>
    <w:qFormat/>
    <w:uiPriority w:val="0"/>
    <w:pPr>
      <w:spacing w:line="360" w:lineRule="auto"/>
      <w:ind w:firstLine="200" w:firstLineChars="200"/>
    </w:pPr>
    <w:rPr>
      <w:rFonts w:ascii="Arial" w:hAnsi="Arial" w:cs="宋体"/>
    </w:rPr>
  </w:style>
  <w:style w:type="paragraph" w:customStyle="1" w:styleId="34">
    <w:name w:val="列出段落2"/>
    <w:basedOn w:val="1"/>
    <w:qFormat/>
    <w:uiPriority w:val="34"/>
    <w:pPr>
      <w:ind w:firstLine="420" w:firstLineChars="200"/>
    </w:pPr>
  </w:style>
  <w:style w:type="paragraph" w:customStyle="1" w:styleId="35">
    <w:name w:val="二级正文"/>
    <w:basedOn w:val="1"/>
    <w:qFormat/>
    <w:uiPriority w:val="0"/>
    <w:pPr>
      <w:spacing w:before="120" w:line="288" w:lineRule="auto"/>
      <w:ind w:left="420" w:firstLine="420"/>
    </w:pPr>
    <w:rPr>
      <w:rFonts w:cs="宋体"/>
    </w:rPr>
  </w:style>
  <w:style w:type="character" w:customStyle="1" w:styleId="36">
    <w:name w:val="批注主题 Char"/>
    <w:link w:val="24"/>
    <w:semiHidden/>
    <w:qFormat/>
    <w:uiPriority w:val="99"/>
    <w:rPr>
      <w:b/>
      <w:bCs/>
      <w:kern w:val="2"/>
      <w:sz w:val="21"/>
    </w:rPr>
  </w:style>
  <w:style w:type="character" w:customStyle="1" w:styleId="37">
    <w:name w:val="标题 1 Char"/>
    <w:link w:val="2"/>
    <w:qFormat/>
    <w:uiPriority w:val="0"/>
    <w:rPr>
      <w:bCs/>
      <w:kern w:val="2"/>
      <w:sz w:val="28"/>
      <w:szCs w:val="24"/>
    </w:rPr>
  </w:style>
  <w:style w:type="character" w:customStyle="1" w:styleId="38">
    <w:name w:val="文档结构图 Char"/>
    <w:link w:val="10"/>
    <w:qFormat/>
    <w:uiPriority w:val="0"/>
    <w:rPr>
      <w:rFonts w:ascii="宋体"/>
      <w:kern w:val="2"/>
      <w:sz w:val="18"/>
      <w:szCs w:val="18"/>
    </w:rPr>
  </w:style>
  <w:style w:type="character" w:customStyle="1" w:styleId="39">
    <w:name w:val="标题 3 Char"/>
    <w:link w:val="6"/>
    <w:qFormat/>
    <w:uiPriority w:val="0"/>
    <w:rPr>
      <w:b/>
      <w:bCs/>
      <w:kern w:val="2"/>
      <w:sz w:val="32"/>
      <w:szCs w:val="32"/>
    </w:rPr>
  </w:style>
  <w:style w:type="character" w:customStyle="1" w:styleId="40">
    <w:name w:val="批注框文本 Char"/>
    <w:link w:val="16"/>
    <w:qFormat/>
    <w:uiPriority w:val="0"/>
    <w:rPr>
      <w:kern w:val="2"/>
      <w:sz w:val="18"/>
      <w:szCs w:val="18"/>
    </w:rPr>
  </w:style>
  <w:style w:type="character" w:customStyle="1" w:styleId="41">
    <w:name w:val="标题 2 Char"/>
    <w:link w:val="3"/>
    <w:qFormat/>
    <w:uiPriority w:val="0"/>
    <w:rPr>
      <w:rFonts w:ascii="Arial" w:hAnsi="Arial" w:eastAsia="黑体"/>
      <w:b/>
      <w:bCs/>
      <w:kern w:val="2"/>
      <w:sz w:val="32"/>
      <w:szCs w:val="32"/>
    </w:rPr>
  </w:style>
  <w:style w:type="character" w:customStyle="1" w:styleId="42">
    <w:name w:val="批注文字 Char"/>
    <w:link w:val="11"/>
    <w:semiHidden/>
    <w:qFormat/>
    <w:uiPriority w:val="99"/>
    <w:rPr>
      <w:kern w:val="2"/>
      <w:sz w:val="21"/>
    </w:rPr>
  </w:style>
  <w:style w:type="character" w:customStyle="1" w:styleId="43">
    <w:name w:val="正文文本缩进 Char"/>
    <w:link w:val="12"/>
    <w:qFormat/>
    <w:uiPriority w:val="0"/>
    <w:rPr>
      <w:color w:val="000000"/>
      <w:kern w:val="2"/>
      <w:sz w:val="24"/>
      <w:szCs w:val="24"/>
    </w:rPr>
  </w:style>
  <w:style w:type="character" w:customStyle="1" w:styleId="44">
    <w:name w:val="标题 4 Char"/>
    <w:link w:val="7"/>
    <w:qFormat/>
    <w:uiPriority w:val="0"/>
    <w:rPr>
      <w:rFonts w:ascii="Cambria" w:hAnsi="Cambria" w:eastAsia="宋体" w:cs="Times New Roman"/>
      <w:b/>
      <w:bCs/>
      <w:kern w:val="2"/>
      <w:sz w:val="28"/>
      <w:szCs w:val="28"/>
    </w:rPr>
  </w:style>
  <w:style w:type="character" w:customStyle="1" w:styleId="45">
    <w:name w:val="目录 1 Char"/>
    <w:link w:val="19"/>
    <w:qFormat/>
    <w:uiPriority w:val="0"/>
    <w:rPr>
      <w:rFonts w:ascii="Calibri" w:hAnsi="Calibri" w:cs="Calibri"/>
      <w:bCs/>
      <w:caps/>
      <w:kern w:val="2"/>
      <w:sz w:val="24"/>
    </w:rPr>
  </w:style>
  <w:style w:type="character" w:customStyle="1" w:styleId="46">
    <w:name w:val="页脚 Char"/>
    <w:link w:val="17"/>
    <w:qFormat/>
    <w:uiPriority w:val="99"/>
    <w:rPr>
      <w:kern w:val="2"/>
      <w:sz w:val="18"/>
    </w:rPr>
  </w:style>
  <w:style w:type="character" w:customStyle="1" w:styleId="47">
    <w:name w:val="页眉 Char"/>
    <w:link w:val="18"/>
    <w:qFormat/>
    <w:uiPriority w:val="99"/>
    <w:rPr>
      <w:kern w:val="2"/>
      <w:sz w:val="18"/>
    </w:rPr>
  </w:style>
  <w:style w:type="character" w:customStyle="1" w:styleId="48">
    <w:name w:val="font51"/>
    <w:basedOn w:val="26"/>
    <w:qFormat/>
    <w:uiPriority w:val="0"/>
    <w:rPr>
      <w:rFonts w:hint="eastAsia" w:ascii="宋体" w:hAnsi="宋体" w:eastAsia="宋体" w:cs="宋体"/>
      <w:b/>
      <w:bCs/>
      <w:color w:val="000000"/>
      <w:sz w:val="22"/>
      <w:szCs w:val="22"/>
      <w:u w:val="none"/>
    </w:rPr>
  </w:style>
  <w:style w:type="character" w:customStyle="1" w:styleId="49">
    <w:name w:val="font21"/>
    <w:basedOn w:val="26"/>
    <w:qFormat/>
    <w:uiPriority w:val="0"/>
    <w:rPr>
      <w:rFonts w:hint="eastAsia" w:ascii="宋体" w:hAnsi="宋体" w:eastAsia="宋体" w:cs="宋体"/>
      <w:b/>
      <w:bCs/>
      <w:color w:val="FF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20</Pages>
  <Words>6665</Words>
  <Characters>7496</Characters>
  <Lines>8</Lines>
  <Paragraphs>2</Paragraphs>
  <TotalTime>4</TotalTime>
  <ScaleCrop>false</ScaleCrop>
  <LinksUpToDate>false</LinksUpToDate>
  <CharactersWithSpaces>7595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2018-03-25T10:39:00Z</dcterms:created>
  <dc:creator>gcb</dc:creator>
  <cp:lastModifiedBy>15825</cp:lastModifiedBy>
  <cp:lastPrinted>2017-10-31T11:10:00Z</cp:lastPrinted>
  <dcterms:modified xsi:type="dcterms:W3CDTF">2023-03-14T05:22:10Z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0D488911C29A47309CBCC6DF2E06B33E</vt:lpwstr>
  </property>
</Properties>
</file>