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156" w:line="360" w:lineRule="auto"/>
        <w:ind w:right="0" w:rightChars="0"/>
        <w:jc w:val="center"/>
        <w:rPr>
          <w:rFonts w:hint="eastAsia" w:asciiTheme="minorEastAsia" w:hAnsiTheme="minorEastAsia" w:eastAsiaTheme="minorEastAsia" w:cstheme="minorEastAsia"/>
          <w:b/>
          <w:sz w:val="24"/>
          <w:szCs w:val="24"/>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val="0"/>
          <w:bCs/>
          <w:sz w:val="36"/>
          <w:szCs w:val="36"/>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val="0"/>
          <w:bCs/>
          <w:sz w:val="48"/>
          <w:szCs w:val="48"/>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val="0"/>
          <w:sz w:val="44"/>
          <w:szCs w:val="44"/>
        </w:rPr>
      </w:pPr>
      <w:r>
        <w:rPr>
          <w:rFonts w:hint="eastAsia" w:asciiTheme="minorEastAsia" w:hAnsiTheme="minorEastAsia" w:eastAsiaTheme="minorEastAsia" w:cstheme="minorEastAsia"/>
          <w:b/>
          <w:bCs w:val="0"/>
          <w:sz w:val="44"/>
          <w:szCs w:val="44"/>
        </w:rPr>
        <w:t>广州银行信用卡外呼系统项目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val="0"/>
          <w:sz w:val="44"/>
          <w:szCs w:val="44"/>
          <w:lang w:val="en-US" w:eastAsia="zh-CN"/>
        </w:rPr>
      </w:pPr>
      <w:r>
        <w:rPr>
          <w:rFonts w:hint="eastAsia" w:asciiTheme="minorEastAsia" w:hAnsiTheme="minorEastAsia" w:eastAsiaTheme="minorEastAsia" w:cstheme="minorEastAsia"/>
          <w:b/>
          <w:bCs w:val="0"/>
          <w:sz w:val="44"/>
          <w:szCs w:val="44"/>
          <w:lang w:val="en-US" w:eastAsia="zh-CN"/>
        </w:rPr>
        <w:t>测试报告</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sectPr>
          <w:pgSz w:w="11906" w:h="16838"/>
          <w:pgMar w:top="851" w:right="1077" w:bottom="851" w:left="1077" w:header="851" w:footer="992" w:gutter="0"/>
          <w:cols w:space="720" w:num="1"/>
          <w:docGrid w:type="lines" w:linePitch="312" w:charSpace="0"/>
        </w:sectPr>
      </w:pPr>
    </w:p>
    <w:p>
      <w:pPr>
        <w:pStyle w:val="20"/>
        <w:pageBreakBefore w:val="0"/>
        <w:kinsoku/>
        <w:wordWrap/>
        <w:overflowPunct/>
        <w:topLinePunct w:val="0"/>
        <w:autoSpaceDE/>
        <w:autoSpaceDN/>
        <w:bidi w:val="0"/>
        <w:adjustRightInd/>
        <w:snapToGrid/>
        <w:spacing w:line="360" w:lineRule="auto"/>
        <w:ind w:right="0" w:rightChars="0"/>
        <w:jc w:val="distribute"/>
        <w:rPr>
          <w:rFonts w:hint="eastAsia" w:asciiTheme="minorEastAsia" w:hAnsiTheme="minorEastAsia" w:eastAsiaTheme="minorEastAsia" w:cstheme="minorEastAsia"/>
          <w:b/>
        </w:rPr>
      </w:pPr>
    </w:p>
    <w:p>
      <w:pPr>
        <w:pStyle w:val="31"/>
        <w:pageBreakBefore w:val="0"/>
        <w:kinsoku/>
        <w:wordWrap/>
        <w:overflowPunct/>
        <w:topLinePunct w:val="0"/>
        <w:autoSpaceDE/>
        <w:autoSpaceDN/>
        <w:bidi w:val="0"/>
        <w:adjustRightInd/>
        <w:snapToGrid/>
        <w:spacing w:beforeLines="50" w:line="360" w:lineRule="auto"/>
        <w:ind w:right="0" w:rightChars="0"/>
        <w:jc w:val="center"/>
        <w:rPr>
          <w:rFonts w:hint="eastAsia" w:asciiTheme="minorEastAsia" w:hAnsiTheme="minorEastAsia" w:eastAsiaTheme="minorEastAsia" w:cstheme="minorEastAsia"/>
          <w:b/>
          <w:bCs w:val="0"/>
          <w:color w:val="2E74B5"/>
          <w:kern w:val="0"/>
          <w:sz w:val="24"/>
          <w:szCs w:val="24"/>
          <w:lang w:val="en-US" w:eastAsia="zh-CN" w:bidi="ar-SA"/>
        </w:rPr>
      </w:pPr>
      <w:bookmarkStart w:id="0" w:name="_Toc24979"/>
      <w:bookmarkStart w:id="1" w:name="_Toc18460"/>
      <w:r>
        <w:rPr>
          <w:rFonts w:hint="eastAsia" w:asciiTheme="minorEastAsia" w:hAnsiTheme="minorEastAsia" w:eastAsiaTheme="minorEastAsia" w:cstheme="minorEastAsia"/>
          <w:b/>
          <w:color w:val="auto"/>
          <w:sz w:val="24"/>
          <w:szCs w:val="24"/>
          <w:lang w:val="zh-CN"/>
        </w:rPr>
        <w:t>目录</w:t>
      </w:r>
      <w:bookmarkEnd w:id="0"/>
      <w:bookmarkEnd w:id="1"/>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TOC \o "1-3" \h \z \u </w:instrText>
      </w:r>
      <w:r>
        <w:rPr>
          <w:rFonts w:hint="eastAsia" w:asciiTheme="minorEastAsia" w:hAnsiTheme="minorEastAsia" w:eastAsiaTheme="minorEastAsia" w:cstheme="minorEastAsia"/>
          <w:b/>
          <w:sz w:val="24"/>
          <w:szCs w:val="24"/>
        </w:rPr>
        <w:fldChar w:fldCharType="separate"/>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_Toc6393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1. 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_Toc17315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2. 测试背景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_Toc5217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3. 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_Toc10851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4. 测试功能点及方案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_Toc8280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4.1</w:t>
      </w:r>
      <w:r>
        <w:rPr>
          <w:rFonts w:hint="eastAsia" w:asciiTheme="minorEastAsia" w:hAnsiTheme="minorEastAsia" w:eastAsiaTheme="minorEastAsia" w:cstheme="minorEastAsia"/>
        </w:rPr>
        <w:t>测试</w:t>
      </w:r>
      <w:r>
        <w:rPr>
          <w:rFonts w:hint="eastAsia" w:asciiTheme="minorEastAsia" w:hAnsiTheme="minorEastAsia" w:eastAsiaTheme="minorEastAsia" w:cstheme="minorEastAsia"/>
          <w:lang w:val="en-US" w:eastAsia="zh-CN"/>
        </w:rPr>
        <w:t>分类及模块优先级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_Toc8280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_Toc25721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4.2</w:t>
      </w:r>
      <w:r>
        <w:rPr>
          <w:rFonts w:hint="eastAsia" w:asciiTheme="minorEastAsia" w:hAnsiTheme="minorEastAsia" w:eastAsiaTheme="minorEastAsia" w:cstheme="minorEastAsia"/>
        </w:rPr>
        <w:t>测试重点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_Toc25721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_Toc31815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4.3业务外呼重点业务场景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_Toc31815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_Toc17850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5. 测试执行情况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_Toc17850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_Toc15991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5.1用例执行情况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_Toc32240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5.2缺陷情况分析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_Toc1957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6. 测试遗留问题及风险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_Toc659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6.1 测试遗留问题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3"/>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_Toc14423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6.2 测试风险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_Toc5974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7. 支持文件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0"/>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_Toc23975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lang w:eastAsia="zh-CN"/>
        </w:rPr>
        <w:t xml:space="preserve">8. </w:t>
      </w:r>
      <w:r>
        <w:rPr>
          <w:rFonts w:hint="eastAsia" w:asciiTheme="minorEastAsia" w:hAnsiTheme="minorEastAsia" w:eastAsiaTheme="minorEastAsia" w:cstheme="minorEastAsia"/>
          <w:szCs w:val="32"/>
        </w:rPr>
        <w:t>测试结论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_Toc23975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31"/>
        <w:pageBreakBefore w:val="0"/>
        <w:kinsoku/>
        <w:wordWrap/>
        <w:overflowPunct/>
        <w:topLinePunct w:val="0"/>
        <w:autoSpaceDE/>
        <w:autoSpaceDN/>
        <w:bidi w:val="0"/>
        <w:adjustRightInd/>
        <w:snapToGrid/>
        <w:spacing w:beforeLines="50" w:line="360" w:lineRule="auto"/>
        <w:ind w:right="0" w:rightChars="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end"/>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b/>
          <w:sz w:val="24"/>
        </w:rPr>
        <w:sectPr>
          <w:headerReference r:id="rId3" w:type="default"/>
          <w:footerReference r:id="rId4" w:type="default"/>
          <w:pgSz w:w="11906" w:h="16838"/>
          <w:pgMar w:top="851" w:right="1077" w:bottom="851" w:left="1077" w:header="1021" w:footer="397" w:gutter="0"/>
          <w:cols w:space="720" w:num="1"/>
          <w:docGrid w:type="lines" w:linePitch="312" w:charSpace="0"/>
        </w:sect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2" w:name="_Toc496690105"/>
      <w:bookmarkStart w:id="3" w:name="_Toc6393"/>
      <w:bookmarkStart w:id="4" w:name="_Toc491874419"/>
      <w:r>
        <w:rPr>
          <w:rFonts w:hint="eastAsia" w:asciiTheme="minorEastAsia" w:hAnsiTheme="minorEastAsia" w:eastAsiaTheme="minorEastAsia" w:cstheme="minorEastAsia"/>
          <w:b/>
          <w:sz w:val="32"/>
          <w:szCs w:val="32"/>
        </w:rPr>
        <w:t>目的</w:t>
      </w:r>
      <w:bookmarkEnd w:id="2"/>
      <w:bookmarkEnd w:id="3"/>
      <w:bookmarkEnd w:id="4"/>
    </w:p>
    <w:p>
      <w:pPr>
        <w:pStyle w:val="29"/>
        <w:pageBreakBefore w:val="0"/>
        <w:kinsoku/>
        <w:wordWrap/>
        <w:overflowPunct/>
        <w:topLinePunct w:val="0"/>
        <w:autoSpaceDE/>
        <w:autoSpaceDN/>
        <w:bidi w:val="0"/>
        <w:adjustRightInd/>
        <w:snapToGrid/>
        <w:spacing w:line="360" w:lineRule="auto"/>
        <w:ind w:right="0" w:rightChars="0" w:firstLine="480" w:firstLineChars="200"/>
        <w:jc w:val="left"/>
        <w:rPr>
          <w:rFonts w:hint="eastAsia" w:asciiTheme="minorEastAsia" w:hAnsiTheme="minorEastAsia" w:eastAsiaTheme="minorEastAsia" w:cstheme="minorEastAsia"/>
          <w:sz w:val="24"/>
          <w:lang w:val="en-US"/>
        </w:rPr>
      </w:pPr>
      <w:r>
        <w:rPr>
          <w:rFonts w:hint="eastAsia" w:asciiTheme="minorEastAsia" w:hAnsiTheme="minorEastAsia" w:eastAsiaTheme="minorEastAsia" w:cstheme="minorEastAsia"/>
          <w:sz w:val="24"/>
          <w:lang w:val="en-US" w:eastAsia="zh-CN"/>
        </w:rPr>
        <w:t>本文档是针对新电销重构项目UAT测试结果进行汇总，并对后续分析提供依据</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 xml:space="preserve"> </w:t>
      </w: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5" w:name="_Toc17315"/>
      <w:r>
        <w:rPr>
          <w:rFonts w:hint="eastAsia" w:asciiTheme="minorEastAsia" w:hAnsiTheme="minorEastAsia" w:eastAsiaTheme="minorEastAsia" w:cstheme="minorEastAsia"/>
          <w:b/>
          <w:sz w:val="32"/>
          <w:szCs w:val="32"/>
        </w:rPr>
        <w:t>测试背景</w:t>
      </w:r>
      <w:bookmarkEnd w:id="5"/>
    </w:p>
    <w:p>
      <w:pPr>
        <w:pageBreakBefore w:val="0"/>
        <w:kinsoku/>
        <w:wordWrap/>
        <w:overflowPunct/>
        <w:topLinePunct w:val="0"/>
        <w:autoSpaceDE/>
        <w:autoSpaceDN/>
        <w:bidi w:val="0"/>
        <w:adjustRightInd/>
        <w:snapToGrid/>
        <w:spacing w:line="360" w:lineRule="auto"/>
        <w:ind w:right="0" w:rightChars="0"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信用卡中心2015年起使用电话营销系统，实现了在线发卡填表、账单分期、消费分期、现金分期、营销数据管理、报表查询等功能，主要用于电话销售一体化管理，基本实现了电销业务自动化、规范化运转，支持了贷前营销工作。现有电销系统经过5年的使用，已无法满足业务需求，可拓展性较低且操作不便，制约了业务的发展。基于促进我行信用卡产品销售的需要，设计全新的电销系统，以满足业务需求</w:t>
      </w:r>
      <w:r>
        <w:rPr>
          <w:rFonts w:hint="eastAsia" w:asciiTheme="minorEastAsia" w:hAnsiTheme="minorEastAsia" w:eastAsiaTheme="minorEastAsia" w:cstheme="minorEastAsia"/>
          <w:sz w:val="24"/>
          <w:lang w:eastAsia="zh-CN"/>
        </w:rPr>
        <w:t>。</w:t>
      </w:r>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6" w:name="_Toc5217"/>
      <w:r>
        <w:rPr>
          <w:rFonts w:hint="eastAsia" w:asciiTheme="minorEastAsia" w:hAnsiTheme="minorEastAsia" w:eastAsiaTheme="minorEastAsia" w:cstheme="minorEastAsia"/>
          <w:b/>
          <w:sz w:val="32"/>
          <w:szCs w:val="32"/>
        </w:rPr>
        <w:t>测试环境</w:t>
      </w:r>
      <w:bookmarkEnd w:id="6"/>
    </w:p>
    <w:tbl>
      <w:tblPr>
        <w:tblStyle w:val="28"/>
        <w:tblW w:w="9408" w:type="dxa"/>
        <w:tblInd w:w="1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08"/>
        <w:gridCol w:w="1400"/>
        <w:gridCol w:w="5052"/>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系统名称</w:t>
            </w:r>
          </w:p>
        </w:tc>
        <w:tc>
          <w:tcPr>
            <w:tcW w:w="140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环境</w:t>
            </w:r>
          </w:p>
        </w:tc>
        <w:tc>
          <w:tcPr>
            <w:tcW w:w="50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地址</w:t>
            </w:r>
          </w:p>
        </w:tc>
        <w:tc>
          <w:tcPr>
            <w:tcW w:w="84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新电销系统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ETL</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ESB</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客服</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网申</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中间业务平台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统一查询平台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信审系统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信贷系统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广赢卡审批系统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卡核心</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BPS</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分期app</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账管</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短信平台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统一征信平台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实时计算平台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bl>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7" w:name="_Toc10851"/>
      <w:r>
        <w:rPr>
          <w:rFonts w:hint="eastAsia" w:asciiTheme="minorEastAsia" w:hAnsiTheme="minorEastAsia" w:eastAsiaTheme="minorEastAsia" w:cstheme="minorEastAsia"/>
          <w:b/>
          <w:sz w:val="32"/>
          <w:szCs w:val="32"/>
        </w:rPr>
        <w:t>测试功能点及方案</w:t>
      </w:r>
      <w:bookmarkEnd w:id="7"/>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详细描写本次测试所涉及到的功能，及测试所使用的方法和流程。</w:t>
      </w: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8" w:name="_Toc19998"/>
      <w:bookmarkStart w:id="9" w:name="_Toc8280"/>
      <w:bookmarkStart w:id="10" w:name="_Toc13516"/>
      <w:r>
        <w:rPr>
          <w:rFonts w:hint="eastAsia" w:asciiTheme="minorEastAsia" w:hAnsiTheme="minorEastAsia" w:eastAsiaTheme="minorEastAsia" w:cstheme="minorEastAsia"/>
          <w:lang w:val="en-US" w:eastAsia="zh-CN"/>
        </w:rPr>
        <w:t>4.1</w:t>
      </w:r>
      <w:r>
        <w:rPr>
          <w:rFonts w:hint="eastAsia" w:asciiTheme="minorEastAsia" w:hAnsiTheme="minorEastAsia" w:eastAsiaTheme="minorEastAsia" w:cstheme="minorEastAsia"/>
        </w:rPr>
        <w:t>测试</w:t>
      </w:r>
      <w:r>
        <w:rPr>
          <w:rFonts w:hint="eastAsia" w:asciiTheme="minorEastAsia" w:hAnsiTheme="minorEastAsia" w:eastAsiaTheme="minorEastAsia" w:cstheme="minorEastAsia"/>
          <w:lang w:val="en-US" w:eastAsia="zh-CN"/>
        </w:rPr>
        <w:t>分类</w:t>
      </w:r>
      <w:bookmarkEnd w:id="8"/>
      <w:r>
        <w:rPr>
          <w:rFonts w:hint="eastAsia" w:asciiTheme="minorEastAsia" w:hAnsiTheme="minorEastAsia" w:eastAsiaTheme="minorEastAsia" w:cstheme="minorEastAsia"/>
          <w:lang w:val="en-US" w:eastAsia="zh-CN"/>
        </w:rPr>
        <w:t>及模块优先级</w:t>
      </w:r>
      <w:bookmarkEnd w:id="9"/>
      <w:bookmarkEnd w:id="10"/>
    </w:p>
    <w:p>
      <w:pPr>
        <w:pStyle w:val="11"/>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参数配置测试：</w:t>
      </w:r>
      <w:r>
        <w:rPr>
          <w:rFonts w:hint="eastAsia" w:asciiTheme="minorEastAsia" w:hAnsiTheme="minorEastAsia" w:eastAsiaTheme="minorEastAsia" w:cstheme="minorEastAsia"/>
          <w:sz w:val="24"/>
          <w:szCs w:val="24"/>
          <w:shd w:val="clear" w:color="auto" w:fill="FFFFFF"/>
          <w:lang w:val="en-US" w:eastAsia="zh-CN"/>
        </w:rPr>
        <w:t>系统配置类完成正常流程测试后才能进行下一个业务类测试，并为下一流程提供测试前置数据；关注配置是否生效；</w:t>
      </w:r>
    </w:p>
    <w:p>
      <w:pPr>
        <w:pStyle w:val="11"/>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业务类测试</w:t>
      </w:r>
      <w:r>
        <w:rPr>
          <w:rFonts w:hint="eastAsia" w:asciiTheme="minorEastAsia" w:hAnsiTheme="minorEastAsia" w:eastAsiaTheme="minorEastAsia" w:cstheme="minorEastAsia"/>
          <w:sz w:val="24"/>
          <w:szCs w:val="24"/>
          <w:shd w:val="clear" w:color="auto" w:fill="FFFFFF"/>
          <w:lang w:val="en-US" w:eastAsia="zh-CN"/>
        </w:rPr>
        <w:t>（会影响客诉、合规、主要业务流程的交易）：关注业务流的正确性，输入输出的正确性，涉及金额的准确性；</w:t>
      </w:r>
    </w:p>
    <w:p>
      <w:pPr>
        <w:pStyle w:val="11"/>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报表类测试</w:t>
      </w:r>
      <w:r>
        <w:rPr>
          <w:rFonts w:hint="eastAsia" w:asciiTheme="minorEastAsia" w:hAnsiTheme="minorEastAsia" w:eastAsiaTheme="minorEastAsia" w:cstheme="minorEastAsia"/>
          <w:sz w:val="24"/>
          <w:szCs w:val="24"/>
          <w:shd w:val="clear" w:color="auto" w:fill="FFFFFF"/>
          <w:lang w:val="en-US" w:eastAsia="zh-CN"/>
        </w:rPr>
        <w:t>：关注数据查询和导出性能，及数据的完整性和正确性；</w:t>
      </w:r>
    </w:p>
    <w:p>
      <w:pPr>
        <w:pStyle w:val="11"/>
        <w:pageBreakBefore w:val="0"/>
        <w:numPr>
          <w:ilvl w:val="0"/>
          <w:numId w:val="0"/>
        </w:numPr>
        <w:tabs>
          <w:tab w:val="clear" w:pos="420"/>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注：模块优先级详情请参考附件（已经需求说明文档的1.5需求功能列表，包括测试人员名单）：</w:t>
      </w:r>
    </w:p>
    <w:p>
      <w:pPr>
        <w:pStyle w:val="11"/>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lang w:eastAsia="zh-CN"/>
        </w:rPr>
      </w:pP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11" w:name="_Toc25721"/>
      <w:bookmarkStart w:id="12" w:name="_Toc26430"/>
      <w:bookmarkStart w:id="13" w:name="_Toc5892"/>
      <w:r>
        <w:rPr>
          <w:rFonts w:hint="eastAsia" w:asciiTheme="minorEastAsia" w:hAnsiTheme="minorEastAsia" w:eastAsiaTheme="minorEastAsia" w:cstheme="minorEastAsia"/>
          <w:lang w:val="en-US" w:eastAsia="zh-CN"/>
        </w:rPr>
        <w:t>4.2</w:t>
      </w:r>
      <w:r>
        <w:rPr>
          <w:rFonts w:hint="eastAsia" w:asciiTheme="minorEastAsia" w:hAnsiTheme="minorEastAsia" w:eastAsiaTheme="minorEastAsia" w:cstheme="minorEastAsia"/>
        </w:rPr>
        <w:t>测试重点</w:t>
      </w:r>
      <w:bookmarkEnd w:id="11"/>
      <w:bookmarkEnd w:id="12"/>
      <w:bookmarkEnd w:id="1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主要验证需求文档中</w:t>
      </w:r>
      <w:r>
        <w:rPr>
          <w:rFonts w:hint="eastAsia" w:asciiTheme="minorEastAsia" w:hAnsiTheme="minorEastAsia" w:eastAsiaTheme="minorEastAsia" w:cstheme="minorEastAsia"/>
          <w:b/>
          <w:bCs/>
          <w:sz w:val="24"/>
          <w:szCs w:val="24"/>
          <w:shd w:val="clear" w:color="auto" w:fill="FFFFFF"/>
          <w:lang w:val="en-US" w:eastAsia="zh-CN"/>
        </w:rPr>
        <w:t>业务功能点</w:t>
      </w:r>
      <w:r>
        <w:rPr>
          <w:rFonts w:hint="eastAsia" w:asciiTheme="minorEastAsia" w:hAnsiTheme="minorEastAsia" w:eastAsiaTheme="minorEastAsia" w:cstheme="minorEastAsia"/>
          <w:sz w:val="24"/>
          <w:szCs w:val="24"/>
          <w:shd w:val="clear" w:color="auto" w:fill="FFFFFF"/>
          <w:lang w:val="en-US" w:eastAsia="zh-CN"/>
        </w:rPr>
        <w:t>是否已实现且可用，如增/删/改/查/呼叫/下单等；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通过</w:t>
      </w:r>
      <w:r>
        <w:rPr>
          <w:rFonts w:hint="eastAsia" w:asciiTheme="minorEastAsia" w:hAnsiTheme="minorEastAsia" w:eastAsiaTheme="minorEastAsia" w:cstheme="minorEastAsia"/>
          <w:b/>
          <w:bCs/>
          <w:sz w:val="24"/>
          <w:szCs w:val="24"/>
          <w:shd w:val="clear" w:color="auto" w:fill="FFFFFF"/>
          <w:lang w:val="en-US" w:eastAsia="zh-CN"/>
        </w:rPr>
        <w:t>业务操作习惯及业务场景测试</w:t>
      </w:r>
      <w:r>
        <w:rPr>
          <w:rFonts w:hint="eastAsia" w:asciiTheme="minorEastAsia" w:hAnsiTheme="minorEastAsia" w:eastAsiaTheme="minorEastAsia" w:cstheme="minorEastAsia"/>
          <w:sz w:val="24"/>
          <w:szCs w:val="24"/>
          <w:shd w:val="clear" w:color="auto" w:fill="FFFFFF"/>
          <w:lang w:val="en-US" w:eastAsia="zh-CN"/>
        </w:rPr>
        <w:t>，验证系统是否符合上线要求</w:t>
      </w:r>
      <w:r>
        <w:rPr>
          <w:rFonts w:hint="eastAsia" w:asciiTheme="minorEastAsia" w:hAnsiTheme="minorEastAsia" w:eastAsiaTheme="minorEastAsia" w:cstheme="minorEastAsia"/>
          <w:sz w:val="24"/>
          <w:szCs w:val="24"/>
          <w:shd w:val="clear" w:color="auto" w:fill="FFFFFF"/>
          <w:lang w:val="en-US" w:eastAsia="zh-CN"/>
        </w:rPr>
        <w:t>（全流程）</w:t>
      </w:r>
      <w:r>
        <w:rPr>
          <w:rFonts w:hint="eastAsia" w:asciiTheme="minorEastAsia" w:hAnsiTheme="minorEastAsia" w:eastAsiaTheme="minorEastAsia" w:cstheme="minorEastAsia"/>
          <w:sz w:val="24"/>
          <w:szCs w:val="24"/>
          <w:shd w:val="clear" w:color="auto"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特别关注业务类测试（业务外呼、品质管理、</w:t>
      </w:r>
      <w:r>
        <w:rPr>
          <w:rFonts w:hint="eastAsia" w:asciiTheme="minorEastAsia" w:hAnsiTheme="minorEastAsia" w:eastAsiaTheme="minorEastAsia" w:cstheme="minorEastAsia"/>
          <w:sz w:val="24"/>
          <w:szCs w:val="24"/>
          <w:shd w:val="clear" w:color="auto" w:fill="FFFFFF"/>
          <w:lang w:val="en-US" w:eastAsia="zh-CN"/>
        </w:rPr>
        <w:t>项目管理</w:t>
      </w:r>
      <w:r>
        <w:rPr>
          <w:rFonts w:hint="eastAsia" w:asciiTheme="minorEastAsia" w:hAnsiTheme="minorEastAsia" w:eastAsiaTheme="minorEastAsia" w:cstheme="minorEastAsia"/>
          <w:sz w:val="24"/>
          <w:szCs w:val="24"/>
          <w:shd w:val="clear" w:color="auto" w:fill="FFFFFF"/>
          <w:lang w:val="en-US" w:eastAsia="zh-CN"/>
        </w:rPr>
        <w:t>、数据管理），及各模块的高优先级功能用例（主流程）；</w:t>
      </w: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14" w:name="_Toc31815"/>
      <w:r>
        <w:rPr>
          <w:rFonts w:hint="eastAsia" w:asciiTheme="minorEastAsia" w:hAnsiTheme="minorEastAsia" w:eastAsiaTheme="minorEastAsia" w:cstheme="minorEastAsia"/>
          <w:lang w:val="en-US" w:eastAsia="zh-CN"/>
        </w:rPr>
        <w:t>4.3业务外呼重点业务场景</w:t>
      </w:r>
      <w:bookmarkEnd w:id="14"/>
    </w:p>
    <w:tbl>
      <w:tblPr>
        <w:tblStyle w:val="2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8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firstLine="21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lang w:val="en-US" w:eastAsia="zh-CN"/>
              </w:rPr>
              <w:t>消费分期</w:t>
            </w:r>
          </w:p>
        </w:tc>
        <w:tc>
          <w:tcPr>
            <w:tcW w:w="8074" w:type="dxa"/>
            <w:vAlign w:val="top"/>
          </w:tcPr>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210" w:leftChars="10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1、各种场景的费率测算结果是否正确</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单笔分期/账单分期/分期同申/账单延期还款+占额/不占额+调额（永调/临调）+等额本金 等的混合下单场景是否正常；</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批核通过/不通过或部分批核业务场景；</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是否可以正常的交叉营销（卡友推荐/EPPC）和禁止外呼</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5"/>
              </w:numPr>
              <w:kinsoku/>
              <w:wordWrap/>
              <w:overflowPunct/>
              <w:topLinePunct w:val="0"/>
              <w:autoSpaceDE/>
              <w:autoSpaceDN/>
              <w:bidi w:val="0"/>
              <w:adjustRightInd/>
              <w:snapToGrid/>
              <w:spacing w:after="0" w:line="360" w:lineRule="auto"/>
              <w:ind w:right="0" w:rightChars="0" w:firstLine="21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5"/>
              </w:numPr>
              <w:kinsoku/>
              <w:wordWrap/>
              <w:overflowPunct/>
              <w:topLinePunct w:val="0"/>
              <w:autoSpaceDE/>
              <w:autoSpaceDN/>
              <w:bidi w:val="0"/>
              <w:adjustRightInd/>
              <w:snapToGrid/>
              <w:spacing w:after="0" w:line="360" w:lineRule="auto"/>
              <w:ind w:right="0" w:rightChars="0" w:firstLine="24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kern w:val="2"/>
                <w:sz w:val="24"/>
                <w:lang w:val="en-US" w:eastAsia="zh-CN" w:bidi="ar-SA"/>
              </w:rPr>
              <w:t>全流程（电销-&gt;ESB-&gt;BPS-&gt;卡核心成功-&gt;CVM文件返回RET造数）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现金分期</w:t>
            </w:r>
          </w:p>
        </w:tc>
        <w:tc>
          <w:tcPr>
            <w:tcW w:w="8074" w:type="dxa"/>
            <w:vAlign w:val="top"/>
          </w:tcPr>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各种场景的费率测算结果是否正确</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还款方式（等额本息/先费后本/等本等费）+产品（EPPC 和 即享金）；占额/不占额 的混合下单场景是否正确；</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IVR/人工身份核查是否正常；</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申办进度查询：批核通过/不通过或部分批核业务场景；</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是否可以正常的交叉营销（卡友推荐/消费分期）和禁止外呼</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全流程（电销-&gt;ESB-&gt;账管预批-&gt;信贷审批-&gt;卡核心成功-&gt;CVM文件返回RET造数）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发卡业务</w:t>
            </w:r>
          </w:p>
        </w:tc>
        <w:tc>
          <w:tcPr>
            <w:tcW w:w="8074" w:type="dxa"/>
            <w:vAlign w:val="top"/>
          </w:tcPr>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IVR/手工征信核查授权和结束归档是否正常；</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常用信用卡的是否能正常下单进入审批；（如通用信用卡、VISA同申/不同申，是否同意调整卡片级别等混合组合业务场景）</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是否申请EPPC额度；</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复审人员进行复审，对应不同复审结果外呼记录的状态和页面展示是否正确；</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发卡过程进入到草稿箱（资料不完整）的情况下，是否能重现发起进件或到点回收，超时场景是否被回收；</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发卡过程进入到草稿箱（资料完整未电核）情况下，是否能重现发起进件（自动或手动），超时的场景是否会自动提交；</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不同的审批结果下，外呼记录的状态流转和页面展示是否正确；</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是否可以正常的交叉营销（卡友推荐/消费分期）和禁止外呼</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快发/常规发卡+实体/虚拟卡 + EPPC下单等业务场景；</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全流程（电销-&gt;ESB-&gt;信审审批-&gt;卡核心发卡成功-&gt;CVM文件返回RET造数）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促激活</w:t>
            </w:r>
          </w:p>
        </w:tc>
        <w:tc>
          <w:tcPr>
            <w:tcW w:w="8074" w:type="dxa"/>
            <w:vAlign w:val="top"/>
          </w:tcPr>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1、客户信息内容展示是否一致</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2、是不是可以正常下单（添加到成功列表）</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3、客户要求禁呼叫、卡友推荐是否正常</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4、不同的结果标，外呼记录所处的TAB是否正确，且是否支持二次外呼；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催激活</w:t>
            </w:r>
          </w:p>
        </w:tc>
        <w:tc>
          <w:tcPr>
            <w:tcW w:w="8074" w:type="dxa"/>
            <w:vAlign w:val="top"/>
          </w:tcPr>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是否可以正常下单（添加到成功列表）</w:t>
            </w:r>
          </w:p>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卡友推荐、禁呼、一键激活、设置查询/交易密码成功；</w:t>
            </w:r>
          </w:p>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不同的结果标，外呼记录所处的TAB是否正确，且是否支持二次外呼；</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4、客户信息内容展示是否一致；</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5、页面的UI 及功能满足业务需求；</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6、全流程（电销-&gt;ESB-&gt;卡核心激活成功-&gt;CVM文件返回RET造数）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广赢卡片</w:t>
            </w:r>
          </w:p>
        </w:tc>
        <w:tc>
          <w:tcPr>
            <w:tcW w:w="8074" w:type="dxa"/>
            <w:vAlign w:val="top"/>
          </w:tcPr>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1、客户信息内容展示是否一致</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2、下单页：在线填表的有效性，是否可以正常下单预约上门</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3、各种外呼结果标下，是否正确流转到不同的TAB，且可以进行二次外呼</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4、外呼/其他号码外呼的有效性校验，包含外呼次数、外呼时长的更新；</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5、草稿箱功能是否正常；（修改/提交/外呼等业务功能）</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6、成功列表和复审功能；</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7、审批结果的闭环验证；</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8、全流程（电销-&gt;ESB-&gt;广赢卡审批系统-&gt;卡核心-&gt;CVM文件返回RET造数）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卡片升级</w:t>
            </w:r>
          </w:p>
        </w:tc>
        <w:tc>
          <w:tcPr>
            <w:tcW w:w="8074" w:type="dxa"/>
            <w:vAlign w:val="top"/>
          </w:tcPr>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大部分同普通发卡,除大部分功能外，关注不同卡产品的升级，</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草稿箱功能是否正常，过期是否回收；</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是否可以成功下单和下标；</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外呼/其他号码外呼的有效性校验，包含外呼次数、外呼时长的更新；</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5、成功列表和复审功能；</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6、审批结果的闭环验证；</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7、客户信息内容展示是否一致；</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8、页面的UI 及功能满足业务需求；</w:t>
            </w:r>
          </w:p>
          <w:p>
            <w:pPr>
              <w:pStyle w:val="4"/>
              <w:pageBreakBefore w:val="0"/>
              <w:numPr>
                <w:ilvl w:val="0"/>
                <w:numId w:val="0"/>
              </w:numPr>
              <w:tabs>
                <w:tab w:val="clear" w:pos="420"/>
              </w:tabs>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9、全流程（电销-&gt;ESB-&gt;信审审批-&gt;卡核心发卡成功-&gt;CVM文件返回RET造数）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w:t>
            </w:r>
          </w:p>
        </w:tc>
        <w:tc>
          <w:tcPr>
            <w:tcW w:w="8074" w:type="dxa"/>
            <w:vAlign w:val="top"/>
          </w:tcPr>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外呼是否正常，在线填表：UI/表字段的有效性校验，且能正常下标（成功/其他）；</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同一个客户不能新增10条，同一个客户不能录入2次，客户的手机号码已有卡的情况；不录入的情况等业务场景</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被推荐人信息查询正确，且可以修改</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卡友推荐意向客户信息通过导入可分配到指定项目编号营销员账号下，需要验证是否生效；</w:t>
            </w:r>
          </w:p>
          <w:p>
            <w:pPr>
              <w:pStyle w:val="4"/>
              <w:pageBreakBefore w:val="0"/>
              <w:numPr>
                <w:ilvl w:val="0"/>
                <w:numId w:val="9"/>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通用产品</w:t>
            </w:r>
          </w:p>
        </w:tc>
        <w:tc>
          <w:tcPr>
            <w:tcW w:w="8074" w:type="dxa"/>
            <w:vAlign w:val="top"/>
          </w:tcPr>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类似发卡，外呼人员进行任务外呼，通过自定义通用表单进行下单；</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表单填写的有效性校验；</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下单成功/失败后正常流转到对应的页面，且状态正确；</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外呼结果是否正常，各结果标下的状态是否正常；</w:t>
            </w:r>
          </w:p>
          <w:p>
            <w:pPr>
              <w:pStyle w:val="4"/>
              <w:pageBreakBefore w:val="0"/>
              <w:numPr>
                <w:ilvl w:val="0"/>
                <w:numId w:val="10"/>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tc>
      </w:tr>
    </w:tbl>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5" w:name="_Toc17850"/>
      <w:r>
        <w:rPr>
          <w:rFonts w:hint="eastAsia" w:asciiTheme="minorEastAsia" w:hAnsiTheme="minorEastAsia" w:eastAsiaTheme="minorEastAsia" w:cstheme="minorEastAsia"/>
          <w:b/>
          <w:sz w:val="32"/>
          <w:szCs w:val="32"/>
        </w:rPr>
        <w:t>测试执行情况</w:t>
      </w:r>
      <w:bookmarkEnd w:id="15"/>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本需求分为3轮UAT测试阶段+变更需求UAT测试：</w:t>
      </w:r>
    </w:p>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6" w:name="_Toc15991"/>
      <w:r>
        <w:rPr>
          <w:rFonts w:hint="eastAsia" w:asciiTheme="minorEastAsia" w:hAnsiTheme="minorEastAsia" w:eastAsiaTheme="minorEastAsia" w:cstheme="minorEastAsia"/>
          <w:lang w:val="en-US" w:eastAsia="zh-CN"/>
        </w:rPr>
        <w:t>5.1用例执行情况</w:t>
      </w:r>
      <w:bookmarkEnd w:id="16"/>
    </w:p>
    <w:tbl>
      <w:tblPr>
        <w:tblStyle w:val="28"/>
        <w:tblW w:w="1024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72"/>
        <w:gridCol w:w="1125"/>
        <w:gridCol w:w="1163"/>
        <w:gridCol w:w="1200"/>
        <w:gridCol w:w="956"/>
        <w:gridCol w:w="994"/>
        <w:gridCol w:w="1012"/>
        <w:gridCol w:w="919"/>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9" w:hRule="atLeast"/>
        </w:trPr>
        <w:tc>
          <w:tcPr>
            <w:tcW w:w="10241" w:type="dxa"/>
            <w:gridSpan w:val="9"/>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电销系统UAT测试用例执行表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1972"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模块</w:t>
            </w:r>
          </w:p>
        </w:tc>
        <w:tc>
          <w:tcPr>
            <w:tcW w:w="1125"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执行率</w:t>
            </w:r>
          </w:p>
        </w:tc>
        <w:tc>
          <w:tcPr>
            <w:tcW w:w="1163"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通过率</w:t>
            </w:r>
          </w:p>
        </w:tc>
        <w:tc>
          <w:tcPr>
            <w:tcW w:w="1200"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用例总数</w:t>
            </w:r>
          </w:p>
        </w:tc>
        <w:tc>
          <w:tcPr>
            <w:tcW w:w="956"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已执行</w:t>
            </w:r>
          </w:p>
        </w:tc>
        <w:tc>
          <w:tcPr>
            <w:tcW w:w="994"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未执行</w:t>
            </w:r>
          </w:p>
        </w:tc>
        <w:tc>
          <w:tcPr>
            <w:tcW w:w="1012"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不适用</w:t>
            </w:r>
          </w:p>
        </w:tc>
        <w:tc>
          <w:tcPr>
            <w:tcW w:w="919"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已通过</w:t>
            </w:r>
          </w:p>
        </w:tc>
        <w:tc>
          <w:tcPr>
            <w:tcW w:w="900"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不通过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冒烟测试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323</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321</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321</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9"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第一轮测试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2708</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2676</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2676</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69"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第二轮测试</w:t>
            </w:r>
            <w:r>
              <w:rPr>
                <w:rFonts w:hint="eastAsia" w:asciiTheme="minorEastAsia" w:hAnsiTheme="minorEastAsia" w:eastAsiaTheme="minorEastAsia" w:cstheme="minorEastAsia"/>
                <w:i w:val="0"/>
                <w:color w:val="000000"/>
                <w:kern w:val="0"/>
                <w:sz w:val="22"/>
                <w:szCs w:val="22"/>
                <w:lang w:val="en-US" w:eastAsia="zh-CN" w:bidi="ar-SA"/>
              </w:rPr>
              <w:br w:type="textWrapping"/>
            </w:r>
            <w:r>
              <w:rPr>
                <w:rFonts w:hint="eastAsia" w:asciiTheme="minorEastAsia" w:hAnsiTheme="minorEastAsia" w:eastAsiaTheme="minorEastAsia" w:cstheme="minorEastAsia"/>
                <w:i w:val="0"/>
                <w:color w:val="000000"/>
                <w:kern w:val="0"/>
                <w:sz w:val="22"/>
                <w:szCs w:val="22"/>
                <w:lang w:val="en-US" w:eastAsia="zh-CN" w:bidi="ar-SA"/>
              </w:rPr>
              <w:t>（回归测试）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672</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669</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669</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3"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变更需求</w:t>
            </w:r>
            <w:r>
              <w:rPr>
                <w:rFonts w:hint="eastAsia" w:asciiTheme="minorEastAsia" w:hAnsiTheme="minorEastAsia" w:eastAsiaTheme="minorEastAsia" w:cstheme="minorEastAsia"/>
                <w:i w:val="0"/>
                <w:color w:val="000000"/>
                <w:kern w:val="0"/>
                <w:sz w:val="22"/>
                <w:szCs w:val="22"/>
                <w:lang w:val="en-US" w:eastAsia="zh-CN" w:bidi="ar-SA"/>
              </w:rPr>
              <w:br w:type="textWrapping"/>
            </w:r>
            <w:r>
              <w:rPr>
                <w:rFonts w:hint="eastAsia" w:asciiTheme="minorEastAsia" w:hAnsiTheme="minorEastAsia" w:eastAsiaTheme="minorEastAsia" w:cstheme="minorEastAsia"/>
                <w:i w:val="0"/>
                <w:color w:val="000000"/>
                <w:kern w:val="0"/>
                <w:sz w:val="22"/>
                <w:szCs w:val="22"/>
                <w:lang w:val="en-US" w:eastAsia="zh-CN" w:bidi="ar-SA"/>
              </w:rPr>
              <w:t>（快发/等额本金）</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总数</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3852</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3815</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37</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3815</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bl>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7" w:name="_Toc32240"/>
      <w:r>
        <w:rPr>
          <w:rFonts w:hint="eastAsia" w:asciiTheme="minorEastAsia" w:hAnsiTheme="minorEastAsia" w:eastAsiaTheme="minorEastAsia" w:cstheme="minorEastAsia"/>
          <w:lang w:val="en-US" w:eastAsia="zh-CN"/>
        </w:rPr>
        <w:t>5.2缺陷情况分析</w:t>
      </w:r>
      <w:bookmarkEnd w:id="17"/>
    </w:p>
    <w:tbl>
      <w:tblPr>
        <w:tblStyle w:val="28"/>
        <w:tblW w:w="94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2"/>
        <w:gridCol w:w="924"/>
        <w:gridCol w:w="1140"/>
        <w:gridCol w:w="960"/>
        <w:gridCol w:w="984"/>
        <w:gridCol w:w="996"/>
        <w:gridCol w:w="924"/>
        <w:gridCol w:w="1152"/>
        <w:gridCol w:w="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trPr>
        <w:tc>
          <w:tcPr>
            <w:tcW w:w="9416" w:type="dxa"/>
            <w:gridSpan w:val="9"/>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Style w:val="48"/>
                <w:rFonts w:hint="eastAsia" w:asciiTheme="minorEastAsia" w:hAnsiTheme="minorEastAsia" w:eastAsiaTheme="minorEastAsia" w:cstheme="minorEastAsia"/>
                <w:lang w:val="en-US" w:eastAsia="zh-CN"/>
              </w:rPr>
              <w:t xml:space="preserve">2022年4月1日 至  2022年5月8日 </w:t>
            </w:r>
            <w:r>
              <w:rPr>
                <w:rStyle w:val="49"/>
                <w:rFonts w:hint="eastAsia" w:asciiTheme="minorEastAsia" w:hAnsiTheme="minorEastAsia" w:eastAsiaTheme="minorEastAsia" w:cstheme="minorEastAsia"/>
                <w:lang w:val="en-US" w:eastAsia="zh-CN"/>
              </w:rPr>
              <w:t>【UAT测试】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8" w:hRule="atLeast"/>
        </w:trPr>
        <w:tc>
          <w:tcPr>
            <w:tcW w:w="13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i w:val="0"/>
                <w:iCs w:val="0"/>
                <w:color w:val="000000"/>
                <w:sz w:val="20"/>
                <w:szCs w:val="20"/>
                <w:u w:val="none"/>
                <w:lang w:val="en-US" w:eastAsia="zh-CN"/>
              </w:rPr>
            </w:pPr>
            <w:r>
              <w:rPr>
                <w:rFonts w:hint="eastAsia" w:asciiTheme="minorEastAsia" w:hAnsiTheme="minorEastAsia" w:eastAsiaTheme="minorEastAsia" w:cstheme="minorEastAsia"/>
                <w:b/>
                <w:bCs/>
                <w:i w:val="0"/>
                <w:iCs w:val="0"/>
                <w:color w:val="000000"/>
                <w:kern w:val="0"/>
                <w:sz w:val="22"/>
                <w:szCs w:val="22"/>
                <w:u w:val="none"/>
                <w:lang w:val="en-US" w:eastAsia="zh-CN"/>
              </w:rPr>
              <w:t>严重级别</w:t>
            </w:r>
          </w:p>
        </w:tc>
        <w:tc>
          <w:tcPr>
            <w:tcW w:w="92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总数</w:t>
            </w:r>
          </w:p>
        </w:tc>
        <w:tc>
          <w:tcPr>
            <w:tcW w:w="114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待修复</w:t>
            </w:r>
          </w:p>
        </w:tc>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已关闭</w:t>
            </w:r>
          </w:p>
        </w:tc>
        <w:tc>
          <w:tcPr>
            <w:tcW w:w="98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待验证</w:t>
            </w:r>
          </w:p>
        </w:tc>
        <w:tc>
          <w:tcPr>
            <w:tcW w:w="996"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已拒绝</w:t>
            </w:r>
          </w:p>
        </w:tc>
        <w:tc>
          <w:tcPr>
            <w:tcW w:w="92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挂起</w:t>
            </w:r>
          </w:p>
        </w:tc>
        <w:tc>
          <w:tcPr>
            <w:tcW w:w="11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重新打开</w:t>
            </w:r>
          </w:p>
        </w:tc>
        <w:tc>
          <w:tcPr>
            <w:tcW w:w="98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分布%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0"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A (致命)</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6"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B  (严重)</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4</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4</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C (一般)</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253</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253</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D (优化)</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5</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8"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0"/>
                <w:szCs w:val="20"/>
                <w:u w:val="none"/>
              </w:rPr>
            </w:pPr>
            <w:r>
              <w:rPr>
                <w:rFonts w:hint="eastAsia" w:asciiTheme="minorEastAsia" w:hAnsiTheme="minorEastAsia" w:eastAsiaTheme="minorEastAsia" w:cstheme="minorEastAsia"/>
                <w:b/>
                <w:bCs/>
                <w:i w:val="0"/>
                <w:iCs w:val="0"/>
                <w:color w:val="000000"/>
                <w:kern w:val="0"/>
                <w:sz w:val="20"/>
                <w:szCs w:val="20"/>
                <w:u w:val="none"/>
                <w:lang w:val="en-US" w:eastAsia="zh-CN"/>
              </w:rPr>
              <w:t>合计</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269</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268</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6"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0"/>
                <w:szCs w:val="20"/>
                <w:u w:val="none"/>
              </w:rPr>
            </w:pPr>
            <w:r>
              <w:rPr>
                <w:rFonts w:hint="eastAsia" w:asciiTheme="minorEastAsia" w:hAnsiTheme="minorEastAsia" w:eastAsiaTheme="minorEastAsia" w:cstheme="minorEastAsia"/>
                <w:b/>
                <w:bCs/>
                <w:i w:val="0"/>
                <w:iCs w:val="0"/>
                <w:color w:val="000000"/>
                <w:kern w:val="0"/>
                <w:sz w:val="20"/>
                <w:szCs w:val="20"/>
                <w:u w:val="none"/>
                <w:lang w:val="en-US" w:eastAsia="zh-CN"/>
              </w:rPr>
              <w:t>%</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100.0%</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99.6%</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r>
              <w:rPr>
                <w:rFonts w:hint="eastAsia" w:asciiTheme="minorEastAsia" w:hAnsiTheme="minorEastAsia" w:eastAsiaTheme="minorEastAsia" w:cstheme="minorEastAsia"/>
                <w:i w:val="0"/>
                <w:color w:val="000000"/>
                <w:kern w:val="0"/>
                <w:sz w:val="20"/>
                <w:szCs w:val="20"/>
                <w:lang w:val="en-US" w:eastAsia="zh-CN" w:bidi="ar-SA"/>
              </w:rPr>
              <w:t>4</w:t>
            </w:r>
            <w:r>
              <w:rPr>
                <w:rFonts w:hint="eastAsia" w:asciiTheme="minorEastAsia" w:hAnsiTheme="minorEastAsia" w:eastAsiaTheme="minorEastAsia" w:cstheme="minorEastAsia"/>
                <w:i w:val="0"/>
                <w:color w:val="000000"/>
                <w:kern w:val="0"/>
                <w:sz w:val="20"/>
                <w:szCs w:val="20"/>
                <w:lang w:val="en-US" w:eastAsia="zh-CN" w:bidi="ar-SA"/>
              </w:rPr>
              <w:t>%</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i w:val="0"/>
                <w:iCs w:val="0"/>
                <w:color w:val="000000"/>
                <w:sz w:val="20"/>
                <w:szCs w:val="20"/>
                <w:u w:val="none"/>
              </w:rPr>
            </w:pP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lang w:val="en-US" w:eastAsia="zh-CN"/>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8" w:name="_Toc408489930"/>
      <w:bookmarkEnd w:id="18"/>
      <w:bookmarkStart w:id="19" w:name="_Toc413834550"/>
      <w:bookmarkEnd w:id="19"/>
      <w:bookmarkStart w:id="20" w:name="_Toc408481047"/>
      <w:bookmarkEnd w:id="20"/>
      <w:bookmarkStart w:id="21" w:name="_Toc408482178"/>
      <w:bookmarkEnd w:id="21"/>
      <w:bookmarkStart w:id="22" w:name="_Toc408490821"/>
      <w:bookmarkEnd w:id="22"/>
      <w:bookmarkStart w:id="23" w:name="_Toc408481786"/>
      <w:bookmarkEnd w:id="23"/>
      <w:bookmarkStart w:id="24" w:name="_Toc408489261"/>
      <w:bookmarkEnd w:id="24"/>
      <w:bookmarkStart w:id="25" w:name="_Toc408490737"/>
      <w:bookmarkEnd w:id="25"/>
      <w:bookmarkStart w:id="26" w:name="_Toc408482157"/>
      <w:bookmarkEnd w:id="26"/>
      <w:bookmarkStart w:id="27" w:name="_Toc408490506"/>
      <w:bookmarkEnd w:id="27"/>
      <w:bookmarkStart w:id="28" w:name="_Toc408481202"/>
      <w:bookmarkEnd w:id="28"/>
      <w:bookmarkStart w:id="29" w:name="_Toc408489605"/>
      <w:bookmarkEnd w:id="29"/>
      <w:bookmarkStart w:id="30" w:name="_Toc408502083"/>
      <w:bookmarkEnd w:id="30"/>
      <w:bookmarkStart w:id="31" w:name="_Toc408482355"/>
      <w:bookmarkEnd w:id="31"/>
      <w:bookmarkStart w:id="32" w:name="_Toc408489530"/>
      <w:bookmarkEnd w:id="32"/>
      <w:bookmarkStart w:id="33" w:name="_Toc408490645"/>
      <w:bookmarkEnd w:id="33"/>
      <w:bookmarkStart w:id="34" w:name="_Toc408490006"/>
      <w:bookmarkEnd w:id="34"/>
      <w:bookmarkStart w:id="35" w:name="_Toc408489886"/>
      <w:bookmarkEnd w:id="35"/>
      <w:bookmarkStart w:id="36" w:name="_Toc408481533"/>
      <w:bookmarkEnd w:id="36"/>
      <w:bookmarkStart w:id="37" w:name="_Toc408481352"/>
      <w:bookmarkEnd w:id="37"/>
      <w:bookmarkStart w:id="38" w:name="_Toc413834540"/>
      <w:bookmarkEnd w:id="38"/>
      <w:bookmarkStart w:id="39" w:name="_Toc408490489"/>
      <w:bookmarkEnd w:id="39"/>
      <w:bookmarkStart w:id="40" w:name="_Toc408481966"/>
      <w:bookmarkEnd w:id="40"/>
      <w:bookmarkStart w:id="41" w:name="_Toc408489989"/>
      <w:bookmarkEnd w:id="41"/>
      <w:bookmarkStart w:id="42" w:name="_Toc413834542"/>
      <w:bookmarkEnd w:id="42"/>
      <w:bookmarkStart w:id="43" w:name="_Toc413834548"/>
      <w:bookmarkEnd w:id="43"/>
      <w:bookmarkStart w:id="44" w:name="_Toc408489240"/>
      <w:bookmarkEnd w:id="44"/>
      <w:bookmarkStart w:id="45" w:name="_Toc408482437"/>
      <w:bookmarkEnd w:id="45"/>
      <w:bookmarkStart w:id="46" w:name="_Toc408489470"/>
      <w:bookmarkEnd w:id="46"/>
      <w:bookmarkStart w:id="47" w:name="_Toc408482293"/>
      <w:bookmarkEnd w:id="47"/>
      <w:bookmarkStart w:id="48" w:name="_Toc408490370"/>
      <w:bookmarkEnd w:id="48"/>
      <w:bookmarkStart w:id="49" w:name="_Toc408490624"/>
      <w:bookmarkEnd w:id="49"/>
      <w:bookmarkStart w:id="50" w:name="_Toc408489968"/>
      <w:bookmarkEnd w:id="50"/>
      <w:bookmarkStart w:id="51" w:name="_Toc408481278"/>
      <w:bookmarkEnd w:id="51"/>
      <w:bookmarkStart w:id="52" w:name="_Toc408482417"/>
      <w:bookmarkEnd w:id="52"/>
      <w:bookmarkStart w:id="53" w:name="_Toc413834549"/>
      <w:bookmarkEnd w:id="53"/>
      <w:bookmarkStart w:id="54" w:name="_Toc408489509"/>
      <w:bookmarkEnd w:id="54"/>
      <w:bookmarkStart w:id="55" w:name="_Toc408490451"/>
      <w:bookmarkEnd w:id="55"/>
      <w:bookmarkStart w:id="56" w:name="_Toc413834537"/>
      <w:bookmarkEnd w:id="56"/>
      <w:bookmarkStart w:id="57" w:name="_Toc413834547"/>
      <w:bookmarkEnd w:id="57"/>
      <w:bookmarkStart w:id="58" w:name="_Toc408481451"/>
      <w:bookmarkEnd w:id="58"/>
      <w:bookmarkStart w:id="59" w:name="_Toc408482225"/>
      <w:bookmarkEnd w:id="59"/>
      <w:bookmarkStart w:id="60" w:name="_Toc413834541"/>
      <w:bookmarkEnd w:id="60"/>
      <w:bookmarkStart w:id="61" w:name="_Toc408490716"/>
      <w:bookmarkEnd w:id="61"/>
      <w:bookmarkStart w:id="62" w:name="_Toc408481223"/>
      <w:bookmarkEnd w:id="62"/>
      <w:bookmarkStart w:id="63" w:name="_Toc408481407"/>
      <w:bookmarkEnd w:id="63"/>
      <w:bookmarkStart w:id="64" w:name="_Toc413834538"/>
      <w:bookmarkEnd w:id="64"/>
      <w:bookmarkStart w:id="65" w:name="_Toc408490800"/>
      <w:bookmarkEnd w:id="65"/>
      <w:bookmarkStart w:id="66" w:name="_Toc408489452"/>
      <w:bookmarkEnd w:id="66"/>
      <w:bookmarkStart w:id="67" w:name="_Toc408490413"/>
      <w:bookmarkEnd w:id="67"/>
      <w:bookmarkStart w:id="68" w:name="_Toc408481428"/>
      <w:bookmarkEnd w:id="68"/>
      <w:bookmarkStart w:id="69" w:name="_Toc408490527"/>
      <w:bookmarkEnd w:id="69"/>
      <w:bookmarkStart w:id="70" w:name="_Toc408481495"/>
      <w:bookmarkEnd w:id="70"/>
      <w:bookmarkStart w:id="71" w:name="_Toc408482458"/>
      <w:bookmarkEnd w:id="71"/>
      <w:bookmarkStart w:id="72" w:name="_Toc413834536"/>
      <w:bookmarkEnd w:id="72"/>
      <w:bookmarkStart w:id="73" w:name="_Toc408482055"/>
      <w:bookmarkEnd w:id="73"/>
      <w:bookmarkStart w:id="74" w:name="_Toc408502104"/>
      <w:bookmarkEnd w:id="74"/>
      <w:bookmarkStart w:id="75" w:name="_Toc408490430"/>
      <w:bookmarkEnd w:id="75"/>
      <w:bookmarkStart w:id="76" w:name="_Toc408481331"/>
      <w:bookmarkEnd w:id="76"/>
      <w:bookmarkStart w:id="77" w:name="_Toc413834546"/>
      <w:bookmarkEnd w:id="77"/>
      <w:bookmarkStart w:id="78" w:name="_Toc408490572"/>
      <w:bookmarkEnd w:id="78"/>
      <w:bookmarkStart w:id="79" w:name="_Toc408489431"/>
      <w:bookmarkEnd w:id="79"/>
      <w:bookmarkStart w:id="80" w:name="_Toc408481987"/>
      <w:bookmarkEnd w:id="80"/>
      <w:bookmarkStart w:id="81" w:name="_Toc408481472"/>
      <w:bookmarkEnd w:id="81"/>
      <w:bookmarkStart w:id="82" w:name="_Toc408481807"/>
      <w:bookmarkEnd w:id="82"/>
      <w:bookmarkStart w:id="83" w:name="_Toc408490468"/>
      <w:bookmarkEnd w:id="83"/>
      <w:bookmarkStart w:id="84" w:name="_Toc408489626"/>
      <w:bookmarkEnd w:id="84"/>
      <w:bookmarkStart w:id="85" w:name="_Toc408481068"/>
      <w:bookmarkEnd w:id="85"/>
      <w:bookmarkStart w:id="86" w:name="_Toc408489491"/>
      <w:bookmarkEnd w:id="86"/>
      <w:bookmarkStart w:id="87" w:name="_Toc408480910"/>
      <w:bookmarkEnd w:id="87"/>
      <w:bookmarkStart w:id="88" w:name="_Toc408481369"/>
      <w:bookmarkEnd w:id="88"/>
      <w:bookmarkStart w:id="89" w:name="_Toc408481390"/>
      <w:bookmarkEnd w:id="89"/>
      <w:bookmarkStart w:id="90" w:name="_Toc408481554"/>
      <w:bookmarkEnd w:id="90"/>
      <w:bookmarkStart w:id="91" w:name="_Toc408502307"/>
      <w:bookmarkEnd w:id="91"/>
      <w:bookmarkStart w:id="92" w:name="_Toc413834545"/>
      <w:bookmarkEnd w:id="92"/>
      <w:bookmarkStart w:id="93" w:name="_Toc408482246"/>
      <w:bookmarkEnd w:id="93"/>
      <w:bookmarkStart w:id="94" w:name="_Toc408490027"/>
      <w:bookmarkEnd w:id="94"/>
      <w:bookmarkStart w:id="95" w:name="_Toc408489951"/>
      <w:bookmarkEnd w:id="95"/>
      <w:bookmarkStart w:id="96" w:name="_Toc413834543"/>
      <w:bookmarkEnd w:id="96"/>
      <w:bookmarkStart w:id="97" w:name="_Toc408482376"/>
      <w:bookmarkEnd w:id="97"/>
      <w:bookmarkStart w:id="98" w:name="_Toc408482314"/>
      <w:bookmarkEnd w:id="98"/>
      <w:bookmarkStart w:id="99" w:name="_Toc408481299"/>
      <w:bookmarkEnd w:id="99"/>
      <w:bookmarkStart w:id="100" w:name="_Toc408489907"/>
      <w:bookmarkEnd w:id="100"/>
      <w:bookmarkStart w:id="101" w:name="_Toc408502286"/>
      <w:bookmarkEnd w:id="101"/>
      <w:bookmarkStart w:id="102" w:name="_Toc408481516"/>
      <w:bookmarkEnd w:id="102"/>
      <w:bookmarkStart w:id="103" w:name="_Toc408482034"/>
      <w:bookmarkEnd w:id="103"/>
      <w:bookmarkStart w:id="104" w:name="_Toc408490392"/>
      <w:bookmarkEnd w:id="104"/>
      <w:bookmarkStart w:id="105" w:name="_Toc408490349"/>
      <w:bookmarkEnd w:id="105"/>
      <w:bookmarkStart w:id="106" w:name="_Toc408480931"/>
      <w:bookmarkEnd w:id="106"/>
      <w:bookmarkStart w:id="107" w:name="_Toc413834539"/>
      <w:bookmarkEnd w:id="107"/>
      <w:bookmarkStart w:id="108" w:name="_Toc408490551"/>
      <w:bookmarkEnd w:id="108"/>
      <w:bookmarkStart w:id="109" w:name="_Toc408482396"/>
      <w:bookmarkEnd w:id="109"/>
      <w:bookmarkStart w:id="110" w:name="_Toc1957"/>
      <w:bookmarkStart w:id="111" w:name="_Toc488674135"/>
      <w:bookmarkStart w:id="112" w:name="_Toc488674190"/>
      <w:bookmarkStart w:id="113" w:name="_Toc408482473"/>
      <w:bookmarkStart w:id="114" w:name="_Toc489377911"/>
      <w:bookmarkStart w:id="115" w:name="_Toc408489543"/>
      <w:bookmarkStart w:id="116" w:name="_Toc425846538"/>
      <w:bookmarkStart w:id="117" w:name="_Toc488674245"/>
      <w:bookmarkStart w:id="118" w:name="_Toc408482432"/>
      <w:bookmarkStart w:id="119" w:name="_Toc408490039"/>
      <w:r>
        <w:rPr>
          <w:rFonts w:hint="eastAsia" w:asciiTheme="minorEastAsia" w:hAnsiTheme="minorEastAsia" w:eastAsiaTheme="minorEastAsia" w:cstheme="minorEastAsia"/>
          <w:b/>
          <w:sz w:val="32"/>
          <w:szCs w:val="32"/>
        </w:rPr>
        <w:t>测试遗留问题及风险</w:t>
      </w:r>
      <w:bookmarkEnd w:id="110"/>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详细描述测试过程中遗留的问题及这些问题可能带来的风险。</w:t>
      </w:r>
    </w:p>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20" w:name="_Toc659"/>
      <w:r>
        <w:rPr>
          <w:rFonts w:hint="eastAsia" w:asciiTheme="minorEastAsia" w:hAnsiTheme="minorEastAsia" w:eastAsiaTheme="minorEastAsia" w:cstheme="minorEastAsia"/>
          <w:lang w:val="en-US" w:eastAsia="zh-CN"/>
        </w:rPr>
        <w:t>6.1 测试遗留问题</w:t>
      </w:r>
      <w:bookmarkEnd w:id="120"/>
    </w:p>
    <w:tbl>
      <w:tblPr>
        <w:tblStyle w:val="28"/>
        <w:tblW w:w="99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
        <w:gridCol w:w="6358"/>
        <w:gridCol w:w="920"/>
        <w:gridCol w:w="93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缺陷编号</w:t>
            </w:r>
          </w:p>
        </w:tc>
        <w:tc>
          <w:tcPr>
            <w:tcW w:w="635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遗留问题描述</w:t>
            </w:r>
          </w:p>
        </w:tc>
        <w:tc>
          <w:tcPr>
            <w:tcW w:w="92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问题类型</w:t>
            </w:r>
          </w:p>
        </w:tc>
        <w:tc>
          <w:tcPr>
            <w:tcW w:w="93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问题提出人员</w:t>
            </w:r>
          </w:p>
        </w:tc>
        <w:tc>
          <w:tcPr>
            <w:tcW w:w="81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业务意见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80"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21679</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【业务外呼-广赢卡任务列表】</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 xml:space="preserve">（1）多维排序需添加与标签一致的字段  </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（2）成功列表客户信息的标签栏也需要添加升序、降序或多维排序的功能。</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（3）草稿箱客户信息的标签栏也需要添加升序、降序或多维排序的功能。</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属于需求优化，若需要则在二期提需求进行实现；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陈艳梅</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21131</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【报表】现金分期下单报表（员工），期望营销组别下拉列表只看现金分期所有组别；</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【BA意见】目前如营销组别不选则默认为选择所有组别，但是目前没有只看</w:t>
            </w:r>
            <w:r>
              <w:rPr>
                <w:rFonts w:hint="eastAsia" w:asciiTheme="minorEastAsia" w:hAnsiTheme="minorEastAsia" w:eastAsiaTheme="minorEastAsia" w:cstheme="minorEastAsia"/>
                <w:i w:val="0"/>
                <w:iCs w:val="0"/>
                <w:color w:val="000000"/>
                <w:kern w:val="0"/>
                <w:sz w:val="22"/>
                <w:szCs w:val="22"/>
                <w:u w:val="none"/>
                <w:lang w:val="en-US" w:eastAsia="zh-CN"/>
              </w:rPr>
              <w:t>到</w:t>
            </w:r>
            <w:r>
              <w:rPr>
                <w:rFonts w:hint="eastAsia" w:asciiTheme="minorEastAsia" w:hAnsiTheme="minorEastAsia" w:eastAsiaTheme="minorEastAsia" w:cstheme="minorEastAsia"/>
                <w:i w:val="0"/>
                <w:iCs w:val="0"/>
                <w:color w:val="000000"/>
                <w:kern w:val="0"/>
                <w:sz w:val="22"/>
                <w:szCs w:val="22"/>
                <w:u w:val="none"/>
                <w:lang w:val="en-US" w:eastAsia="zh-CN"/>
              </w:rPr>
              <w:t>现金分期业务下面的所有组别的，属于需求优化，若需要则在二期提需求进行实现；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黄永康</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21161</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21162</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【系统管理-参数配置页面】输入值目前无合法性校验，输入其他非法字符仍能成功；</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【BA意见】需求中未明确，</w:t>
            </w:r>
            <w:r>
              <w:rPr>
                <w:rFonts w:hint="eastAsia" w:asciiTheme="minorEastAsia" w:hAnsiTheme="minorEastAsia" w:eastAsiaTheme="minorEastAsia" w:cstheme="minorEastAsia"/>
                <w:i w:val="0"/>
                <w:iCs w:val="0"/>
                <w:color w:val="000000"/>
                <w:kern w:val="0"/>
                <w:sz w:val="22"/>
                <w:szCs w:val="22"/>
                <w:u w:val="none"/>
                <w:lang w:val="en-US" w:eastAsia="zh-CN"/>
              </w:rPr>
              <w:t>旧</w:t>
            </w:r>
            <w:r>
              <w:rPr>
                <w:rFonts w:hint="eastAsia" w:asciiTheme="minorEastAsia" w:hAnsiTheme="minorEastAsia" w:eastAsiaTheme="minorEastAsia" w:cstheme="minorEastAsia"/>
                <w:i w:val="0"/>
                <w:iCs w:val="0"/>
                <w:color w:val="000000"/>
                <w:kern w:val="0"/>
                <w:sz w:val="22"/>
                <w:szCs w:val="22"/>
                <w:u w:val="none"/>
                <w:lang w:val="en-US" w:eastAsia="zh-CN"/>
              </w:rPr>
              <w:t>电销也无此验证功能，若需要则在二期提需求进行实现；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常胜</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bl>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21" w:name="_Toc14423"/>
      <w:r>
        <w:rPr>
          <w:rFonts w:hint="eastAsia" w:asciiTheme="minorEastAsia" w:hAnsiTheme="minorEastAsia" w:eastAsiaTheme="minorEastAsia" w:cstheme="minorEastAsia"/>
          <w:lang w:val="en-US" w:eastAsia="zh-CN"/>
        </w:rPr>
        <w:t>6.2 测试风险</w:t>
      </w:r>
      <w:bookmarkEnd w:id="121"/>
    </w:p>
    <w:tbl>
      <w:tblPr>
        <w:tblStyle w:val="28"/>
        <w:tblW w:w="1021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
        <w:gridCol w:w="8137"/>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序号</w:t>
            </w:r>
          </w:p>
        </w:tc>
        <w:tc>
          <w:tcPr>
            <w:tcW w:w="813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风险问题描述</w:t>
            </w:r>
          </w:p>
        </w:tc>
        <w:tc>
          <w:tcPr>
            <w:tcW w:w="111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BA/业务意见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0"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1</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【大数据CVM验证】由于测试环境的问题，测试环境CVM供数都是根据文件格式进行造数并上传至FTP，非通过全链路闭环产生；且测试数据少，会存在测试场景覆盖不全的情况；</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【解决措施】业务</w:t>
            </w:r>
            <w:r>
              <w:rPr>
                <w:rFonts w:hint="eastAsia" w:asciiTheme="minorEastAsia" w:hAnsiTheme="minorEastAsia" w:eastAsiaTheme="minorEastAsia" w:cstheme="minorEastAsia"/>
                <w:i w:val="0"/>
                <w:iCs w:val="0"/>
                <w:color w:val="000000"/>
                <w:kern w:val="0"/>
                <w:sz w:val="22"/>
                <w:szCs w:val="22"/>
                <w:u w:val="none"/>
                <w:lang w:val="en-US" w:eastAsia="zh-CN"/>
              </w:rPr>
              <w:t>测试人员</w:t>
            </w:r>
            <w:r>
              <w:rPr>
                <w:rFonts w:hint="eastAsia" w:asciiTheme="minorEastAsia" w:hAnsiTheme="minorEastAsia" w:eastAsiaTheme="minorEastAsia" w:cstheme="minorEastAsia"/>
                <w:i w:val="0"/>
                <w:iCs w:val="0"/>
                <w:color w:val="000000"/>
                <w:kern w:val="0"/>
                <w:sz w:val="22"/>
                <w:szCs w:val="22"/>
                <w:u w:val="none"/>
                <w:lang w:val="en-US" w:eastAsia="zh-CN"/>
              </w:rPr>
              <w:t>需要在大灰度测试环境关注改类的验证（如SAS导入、各业务场景成功列表的数据展示、报表的展示）</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8"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【话务条-话务机的验证】由于测试环境都是使用5位分机号进行拨号，</w:t>
            </w:r>
            <w:r>
              <w:rPr>
                <w:rFonts w:hint="eastAsia" w:asciiTheme="minorEastAsia" w:hAnsiTheme="minorEastAsia" w:eastAsiaTheme="minorEastAsia" w:cstheme="minorEastAsia"/>
                <w:i w:val="0"/>
                <w:iCs w:val="0"/>
                <w:color w:val="000000"/>
                <w:kern w:val="0"/>
                <w:sz w:val="22"/>
                <w:szCs w:val="22"/>
                <w:u w:val="none"/>
                <w:lang w:val="en-US" w:eastAsia="zh-CN"/>
              </w:rPr>
              <w:t>涉及</w:t>
            </w:r>
            <w:r>
              <w:rPr>
                <w:rFonts w:hint="eastAsia" w:asciiTheme="minorEastAsia" w:hAnsiTheme="minorEastAsia" w:eastAsiaTheme="minorEastAsia" w:cstheme="minorEastAsia"/>
                <w:i w:val="0"/>
                <w:iCs w:val="0"/>
                <w:color w:val="000000"/>
                <w:kern w:val="0"/>
                <w:sz w:val="22"/>
                <w:szCs w:val="22"/>
                <w:u w:val="none"/>
                <w:lang w:val="en-US" w:eastAsia="zh-CN"/>
              </w:rPr>
              <w:t>真实</w:t>
            </w:r>
            <w:r>
              <w:rPr>
                <w:rFonts w:hint="eastAsia" w:asciiTheme="minorEastAsia" w:hAnsiTheme="minorEastAsia" w:eastAsiaTheme="minorEastAsia" w:cstheme="minorEastAsia"/>
                <w:i w:val="0"/>
                <w:iCs w:val="0"/>
                <w:color w:val="000000"/>
                <w:kern w:val="0"/>
                <w:sz w:val="22"/>
                <w:szCs w:val="22"/>
                <w:u w:val="none"/>
                <w:lang w:val="en-US" w:eastAsia="zh-CN"/>
              </w:rPr>
              <w:t>手机和固话</w:t>
            </w:r>
            <w:r>
              <w:rPr>
                <w:rFonts w:hint="eastAsia" w:asciiTheme="minorEastAsia" w:hAnsiTheme="minorEastAsia" w:eastAsiaTheme="minorEastAsia" w:cstheme="minorEastAsia"/>
                <w:i w:val="0"/>
                <w:iCs w:val="0"/>
                <w:color w:val="000000"/>
                <w:kern w:val="0"/>
                <w:sz w:val="22"/>
                <w:szCs w:val="22"/>
                <w:u w:val="none"/>
                <w:lang w:val="en-US" w:eastAsia="zh-CN"/>
              </w:rPr>
              <w:t>，</w:t>
            </w:r>
            <w:r>
              <w:rPr>
                <w:rFonts w:hint="eastAsia" w:asciiTheme="minorEastAsia" w:hAnsiTheme="minorEastAsia" w:eastAsiaTheme="minorEastAsia" w:cstheme="minorEastAsia"/>
                <w:i w:val="0"/>
                <w:iCs w:val="0"/>
                <w:color w:val="000000"/>
                <w:kern w:val="0"/>
                <w:sz w:val="22"/>
                <w:szCs w:val="22"/>
                <w:u w:val="none"/>
                <w:lang w:val="en-US" w:eastAsia="zh-CN"/>
              </w:rPr>
              <w:t>都是通过99+手机号/固话拨打，与生产环境有差异，话务相关的功能无法全面覆盖验证</w:t>
            </w:r>
            <w:r>
              <w:rPr>
                <w:rFonts w:hint="eastAsia" w:asciiTheme="minorEastAsia" w:hAnsiTheme="minorEastAsia" w:eastAsiaTheme="minorEastAsia" w:cstheme="minorEastAsia"/>
                <w:i w:val="0"/>
                <w:iCs w:val="0"/>
                <w:color w:val="000000"/>
                <w:kern w:val="0"/>
                <w:sz w:val="22"/>
                <w:szCs w:val="22"/>
                <w:u w:val="none"/>
                <w:lang w:val="en-US" w:eastAsia="zh-CN"/>
              </w:rPr>
              <w:t>，且涉及到奥迪坚、Genesys话务平台（虽然此次不涉及话务平台的改造），所以该部分需要业务</w:t>
            </w:r>
            <w:r>
              <w:rPr>
                <w:rFonts w:hint="eastAsia" w:asciiTheme="minorEastAsia" w:hAnsiTheme="minorEastAsia" w:eastAsiaTheme="minorEastAsia" w:cstheme="minorEastAsia"/>
                <w:i w:val="0"/>
                <w:iCs w:val="0"/>
                <w:color w:val="000000"/>
                <w:kern w:val="0"/>
                <w:sz w:val="22"/>
                <w:szCs w:val="22"/>
                <w:u w:val="none"/>
                <w:lang w:val="en-US" w:eastAsia="zh-CN"/>
              </w:rPr>
              <w:t>测试人员</w:t>
            </w:r>
            <w:r>
              <w:rPr>
                <w:rFonts w:hint="eastAsia" w:asciiTheme="minorEastAsia" w:hAnsiTheme="minorEastAsia" w:eastAsiaTheme="minorEastAsia" w:cstheme="minorEastAsia"/>
                <w:i w:val="0"/>
                <w:iCs w:val="0"/>
                <w:color w:val="000000"/>
                <w:kern w:val="0"/>
                <w:sz w:val="22"/>
                <w:szCs w:val="22"/>
                <w:u w:val="none"/>
                <w:lang w:val="en-US" w:eastAsia="zh-CN"/>
              </w:rPr>
              <w:t>在灰度期间重点关注；</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3</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【测试时间不足】由于测试环境的测试数据有限，且测试时间短，可能存在测试覆盖不全的情况，需要加大灰度验证的力度；</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4</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【部分需求未实现】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1）催激活的“设置交易密码”“设置查询密码”未实行，需要在二期中实现；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2）预测式外呼功能未实现，会在后期中实现；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【BA意见】将可能在二期实现；</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28"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5</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【部分需求未实现】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1）催激活的“设置交易密码”“设置查询密码”未实行，需要在二期中实现；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2）预测式外呼功能未实现，会在后期中实现；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3）部分不影响主流程类的验证功能点未实现（界面输入控件的校验），供应商已列出清单，需要业务确认</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【BA意见】将梳理对项目的影响，排期实现；</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22" w:name="_Toc496690117"/>
      <w:bookmarkStart w:id="123" w:name="_Toc5974"/>
      <w:bookmarkStart w:id="124" w:name="_Toc496690116"/>
      <w:r>
        <w:rPr>
          <w:rFonts w:hint="eastAsia" w:asciiTheme="minorEastAsia" w:hAnsiTheme="minorEastAsia" w:eastAsiaTheme="minorEastAsia" w:cstheme="minorEastAsia"/>
          <w:b/>
          <w:sz w:val="32"/>
          <w:szCs w:val="32"/>
        </w:rPr>
        <w:t>支持文件</w:t>
      </w:r>
      <w:bookmarkEnd w:id="122"/>
      <w:bookmarkEnd w:id="123"/>
    </w:p>
    <w:bookmarkEnd w:id="124"/>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包括案例、缺陷情况：</w:t>
      </w:r>
      <w:r>
        <w:rPr>
          <w:rFonts w:hint="eastAsia" w:asciiTheme="minorEastAsia" w:hAnsiTheme="minorEastAsia" w:eastAsiaTheme="minorEastAsia" w:cstheme="minorEastAsia"/>
          <w:sz w:val="24"/>
          <w:szCs w:val="24"/>
          <w:lang w:eastAsia="zh-CN"/>
        </w:rPr>
        <w:t>《新电销重构系统_测试进度监控表20220517.xlsx》</w:t>
      </w: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lang w:eastAsia="zh-CN"/>
        </w:rPr>
      </w:pPr>
      <w:bookmarkStart w:id="125" w:name="_Toc23975"/>
      <w:r>
        <w:rPr>
          <w:rFonts w:hint="eastAsia" w:asciiTheme="minorEastAsia" w:hAnsiTheme="minorEastAsia" w:eastAsiaTheme="minorEastAsia" w:cstheme="minorEastAsia"/>
          <w:b/>
          <w:sz w:val="32"/>
          <w:szCs w:val="32"/>
        </w:rPr>
        <w:t>测试结论</w:t>
      </w:r>
      <w:bookmarkEnd w:id="125"/>
    </w:p>
    <w:tbl>
      <w:tblPr>
        <w:tblStyle w:val="28"/>
        <w:tblW w:w="96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2"/>
        <w:gridCol w:w="1167"/>
        <w:gridCol w:w="2359"/>
        <w:gridCol w:w="1515"/>
        <w:gridCol w:w="1530"/>
        <w:gridCol w:w="1083"/>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9" w:hRule="atLeast"/>
        </w:trPr>
        <w:tc>
          <w:tcPr>
            <w:tcW w:w="70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序号</w:t>
            </w:r>
          </w:p>
        </w:tc>
        <w:tc>
          <w:tcPr>
            <w:tcW w:w="116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一级模块</w:t>
            </w:r>
          </w:p>
        </w:tc>
        <w:tc>
          <w:tcPr>
            <w:tcW w:w="2359"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二级模块</w:t>
            </w:r>
          </w:p>
        </w:tc>
        <w:tc>
          <w:tcPr>
            <w:tcW w:w="1515"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三级模块</w:t>
            </w:r>
          </w:p>
        </w:tc>
        <w:tc>
          <w:tcPr>
            <w:tcW w:w="153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四级模块</w:t>
            </w:r>
          </w:p>
        </w:tc>
        <w:tc>
          <w:tcPr>
            <w:tcW w:w="1083"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测试人</w:t>
            </w:r>
          </w:p>
        </w:tc>
        <w:tc>
          <w:tcPr>
            <w:tcW w:w="132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登录及其他</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kern w:val="2"/>
                <w:sz w:val="24"/>
                <w:lang w:val="en-US" w:eastAsia="zh-CN" w:bidi="ar-SA"/>
              </w:rPr>
              <w:t>登录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nil"/>
              <w:left w:val="nil"/>
              <w:bottom w:val="nil"/>
              <w:right w:val="nil"/>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站内消息</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预约消息</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修改密码</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nil"/>
              <w:left w:val="nil"/>
              <w:bottom w:val="nil"/>
              <w:right w:val="nil"/>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w:t>
            </w:r>
          </w:p>
        </w:tc>
        <w:tc>
          <w:tcPr>
            <w:tcW w:w="11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主页</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数据导入模板管理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项目编号管理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表单管理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字段类别维护</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w:t>
            </w:r>
          </w:p>
        </w:tc>
        <w:tc>
          <w:tcPr>
            <w:tcW w:w="11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外呼结果标定义</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数据管理</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数据导入</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SAS 导入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人工导入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导入规则执行</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中间库导入监控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生产库导入监控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生产库导入监控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客服工单查询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网申工单查询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单条数据分配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批量数据分配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层级数据分配（数据管理员）</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层级数据分配（营销经理）</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层级数据分配（营销组长）</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层级分配数据修改</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自定义数据分配管理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数据分配复审</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数据分配复审结果</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数据分配报表查询</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未分配数据查询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已分配数据查询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配额分配数据查询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奖励配额设置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数据回收</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参数配置（全局回收规则配置）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系统回收规则管理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手工回收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自定义回收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数据回收日志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客户信息查询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40</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业务外呼</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我的配额</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数据状态查询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被推荐人信息查询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卡友推荐意向客户查询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普通发卡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资料完整未电核</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资料不完整</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复审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促激活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催激活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FF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卡片升级</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广赢卡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FF0000"/>
                <w:kern w:val="0"/>
                <w:sz w:val="21"/>
                <w:szCs w:val="21"/>
                <w:u w:val="none"/>
                <w:lang w:val="en-US" w:eastAsia="zh-CN"/>
              </w:rPr>
              <w:t>通过（存在一个遗留优化需求问题）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复审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通用产品</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67</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品质管理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质检点配置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质检问题分类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质检任务抽取</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单条监听任务获取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指定监听任务获取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任务池抽取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质检任务列表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w:t>
            </w:r>
            <w:r>
              <w:rPr>
                <w:rFonts w:hint="eastAsia" w:asciiTheme="minorEastAsia" w:hAnsiTheme="minorEastAsia" w:eastAsiaTheme="minorEastAsia" w:cstheme="minorEastAsia"/>
                <w:i w:val="0"/>
                <w:iCs w:val="0"/>
                <w:color w:val="000000"/>
                <w:kern w:val="0"/>
                <w:sz w:val="21"/>
                <w:szCs w:val="21"/>
                <w:u w:val="none"/>
                <w:lang w:val="en-US" w:eastAsia="zh-CN"/>
              </w:rPr>
              <w:t>任务管理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质检成功列表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质检得分查询（营销员）</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质检得分查询（营销组长）</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质检得分查询（营销经理）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79</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报表</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数据管理报表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外呼结果报表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拒绝原因报表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消费分期批核月报表（员工）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消费分期当日报表（组别）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话务分析单日报表（业务）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话务分析报表（时间）</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话务异常轮询报表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品质管理报表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日常/专项监听量、品质得分统计表（员工）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日常/专项监听量、品质得分统计表（组别）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日常/专项质检问题分类统计表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日常/专项质检回访情况统计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日常/专项质检单日回访情况统计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工单质检-问题分类统计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工单质检-工单量统计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测试通关-工作量统计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测试通关-问题分类统计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大屏看板</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月度短信统计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128</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培训管理</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话术管理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题库管理主界面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题库管理新增题目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题库管理删除题目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题库管理中单个题目的编辑</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题库管理中单个题目的删除</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问卷管理主界面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问卷管理新增问卷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问卷管理删除问卷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问卷管理中单个问卷的编辑</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问卷管理中单个问卷的删除</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问卷管理中单个问卷的复制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问卷管理中单个问卷的绑定任务查看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知识库</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知识库所包含的功能</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知识检索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知识树分类/知识树属性维度/我的审核/同义词/流程配置/知识列表管理/回收站</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操作日志/数据权限/文件管理/反馈管理</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个人业务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我的反馈/我的收藏/我的推荐</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培训考试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我的培训考试</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培训考试分类</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课件管理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试卷管理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计划管理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在线阅卷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考试统计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错题统计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158</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菜单维护</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数据字典管理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配置参数管理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公告管理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我的公告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跑马灯管理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IP 分机管理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禁止外呼名单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敏感客户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话术配置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信用卡类别管理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录音及话单查询权限管理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项目编号转换管理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短信模板配置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工作日设置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敏感词配置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状态未明数据管理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EPPC 等本等费还款方式配置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看板日目标值设定（组别）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看板月目标值设定（团队）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看板月目标值设定（组别）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个人业绩目标值配置（分期）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个人业绩目标值配置（发卡）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保险工号配置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商品电销录音查询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BPO 项目数据平台用户管理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定时任务管理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系统操作日志记录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192</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账号权限管理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角色管理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账号管理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营销组管理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营销员工号信息管理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注：</w:t>
      </w: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lang w:eastAsia="zh-CN"/>
        </w:rPr>
        <w:t>上述结果包括等额本金和快发需求的测试结果。</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经过</w:t>
      </w: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CN"/>
        </w:rPr>
        <w:t>UAT业务</w:t>
      </w:r>
      <w:r>
        <w:rPr>
          <w:rFonts w:hint="eastAsia" w:asciiTheme="minorEastAsia" w:hAnsiTheme="minorEastAsia" w:eastAsiaTheme="minorEastAsia" w:cstheme="minorEastAsia"/>
          <w:sz w:val="24"/>
        </w:rPr>
        <w:t>测试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同意</w:t>
      </w:r>
      <w:r>
        <w:rPr>
          <w:rFonts w:hint="eastAsia" w:asciiTheme="minorEastAsia" w:hAnsiTheme="minorEastAsia" w:eastAsiaTheme="minorEastAsia" w:cstheme="minorEastAsia"/>
          <w:sz w:val="24"/>
          <w:lang w:eastAsia="zh-CN"/>
        </w:rPr>
        <w:t>该项目</w:t>
      </w:r>
      <w:r>
        <w:rPr>
          <w:rFonts w:hint="eastAsia" w:asciiTheme="minorEastAsia" w:hAnsiTheme="minorEastAsia" w:eastAsiaTheme="minorEastAsia" w:cstheme="minorEastAsia"/>
          <w:sz w:val="24"/>
        </w:rPr>
        <w:t>上线</w:t>
      </w:r>
      <w:r>
        <w:rPr>
          <w:rFonts w:hint="eastAsia" w:asciiTheme="minorEastAsia" w:hAnsiTheme="minorEastAsia" w:eastAsiaTheme="minorEastAsia" w:cstheme="minorEastAsia"/>
          <w:sz w:val="24"/>
          <w:lang w:eastAsia="zh-CN"/>
        </w:rPr>
        <w:t>。</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项目经理签字：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测试负责人签字：</w:t>
      </w:r>
      <w:bookmarkEnd w:id="111"/>
      <w:bookmarkEnd w:id="112"/>
      <w:bookmarkEnd w:id="113"/>
      <w:bookmarkEnd w:id="114"/>
      <w:bookmarkEnd w:id="115"/>
      <w:bookmarkEnd w:id="116"/>
      <w:bookmarkEnd w:id="117"/>
      <w:bookmarkEnd w:id="118"/>
      <w:bookmarkEnd w:id="119"/>
      <w:bookmarkStart w:id="126" w:name="_GoBack"/>
      <w:bookmarkEnd w:id="126"/>
    </w:p>
    <w:sectPr>
      <w:headerReference r:id="rId5" w:type="default"/>
      <w:footerReference r:id="rId6" w:type="default"/>
      <w:pgSz w:w="11906" w:h="16838"/>
      <w:pgMar w:top="851" w:right="1077" w:bottom="851" w:left="1077" w:header="1021" w:footer="39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hint="eastAsia" w:eastAsia="宋体"/>
        <w:sz w:val="20"/>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lef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multilevel"/>
    <w:tmpl w:val="00000007"/>
    <w:lvl w:ilvl="0" w:tentative="1">
      <w:start w:val="1"/>
      <w:numFmt w:val="decimal"/>
      <w:pStyle w:val="2"/>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79742315">
    <w:nsid w:val="F921CE6B"/>
    <w:multiLevelType w:val="singleLevel"/>
    <w:tmpl w:val="F921CE6B"/>
    <w:lvl w:ilvl="0" w:tentative="1">
      <w:start w:val="1"/>
      <w:numFmt w:val="decimal"/>
      <w:suff w:val="nothing"/>
      <w:lvlText w:val="%1、"/>
      <w:lvlJc w:val="left"/>
    </w:lvl>
  </w:abstractNum>
  <w:abstractNum w:abstractNumId="4274703370">
    <w:nsid w:val="FECACC0A"/>
    <w:multiLevelType w:val="singleLevel"/>
    <w:tmpl w:val="FECACC0A"/>
    <w:lvl w:ilvl="0" w:tentative="1">
      <w:start w:val="1"/>
      <w:numFmt w:val="decimal"/>
      <w:suff w:val="nothing"/>
      <w:lvlText w:val="%1、"/>
      <w:lvlJc w:val="left"/>
    </w:lvl>
  </w:abstractNum>
  <w:abstractNum w:abstractNumId="2646148099">
    <w:nsid w:val="9DB90403"/>
    <w:multiLevelType w:val="singleLevel"/>
    <w:tmpl w:val="9DB90403"/>
    <w:lvl w:ilvl="0" w:tentative="1">
      <w:start w:val="1"/>
      <w:numFmt w:val="decimal"/>
      <w:suff w:val="nothing"/>
      <w:lvlText w:val="%1、"/>
      <w:lvlJc w:val="left"/>
    </w:lvl>
  </w:abstractNum>
  <w:abstractNum w:abstractNumId="2448557871">
    <w:nsid w:val="91F2072F"/>
    <w:multiLevelType w:val="singleLevel"/>
    <w:tmpl w:val="91F2072F"/>
    <w:lvl w:ilvl="0" w:tentative="1">
      <w:start w:val="1"/>
      <w:numFmt w:val="bullet"/>
      <w:lvlText w:val=""/>
      <w:lvlJc w:val="left"/>
      <w:pPr>
        <w:ind w:left="420" w:hanging="420"/>
      </w:pPr>
      <w:rPr>
        <w:rFonts w:hint="default" w:ascii="Wingdings" w:hAnsi="Wingdings"/>
      </w:rPr>
    </w:lvl>
  </w:abstractNum>
  <w:abstractNum w:abstractNumId="824706853">
    <w:nsid w:val="31280725"/>
    <w:multiLevelType w:val="singleLevel"/>
    <w:tmpl w:val="31280725"/>
    <w:lvl w:ilvl="0" w:tentative="1">
      <w:start w:val="1"/>
      <w:numFmt w:val="bullet"/>
      <w:lvlText w:val=""/>
      <w:lvlJc w:val="left"/>
      <w:pPr>
        <w:ind w:left="420" w:hanging="420"/>
      </w:pPr>
      <w:rPr>
        <w:rFonts w:hint="default" w:ascii="Wingdings" w:hAnsi="Wingdings"/>
      </w:rPr>
    </w:lvl>
  </w:abstractNum>
  <w:abstractNum w:abstractNumId="3655977124">
    <w:nsid w:val="D9E9C8A4"/>
    <w:multiLevelType w:val="singleLevel"/>
    <w:tmpl w:val="D9E9C8A4"/>
    <w:lvl w:ilvl="0" w:tentative="1">
      <w:start w:val="2"/>
      <w:numFmt w:val="decimal"/>
      <w:suff w:val="nothing"/>
      <w:lvlText w:val="%1、"/>
      <w:lvlJc w:val="left"/>
    </w:lvl>
  </w:abstractNum>
  <w:abstractNum w:abstractNumId="4260333970">
    <w:nsid w:val="FDEF8992"/>
    <w:multiLevelType w:val="singleLevel"/>
    <w:tmpl w:val="FDEF8992"/>
    <w:lvl w:ilvl="0" w:tentative="1">
      <w:start w:val="1"/>
      <w:numFmt w:val="decimal"/>
      <w:suff w:val="nothing"/>
      <w:lvlText w:val="%1、"/>
      <w:lvlJc w:val="left"/>
      <w:pPr>
        <w:ind w:left="240"/>
      </w:pPr>
    </w:lvl>
  </w:abstractNum>
  <w:abstractNum w:abstractNumId="9">
    <w:nsid w:val="00000009"/>
    <w:multiLevelType w:val="multilevel"/>
    <w:tmpl w:val="00000009"/>
    <w:lvl w:ilvl="0" w:tentative="1">
      <w:start w:val="1"/>
      <w:numFmt w:val="decimal"/>
      <w:lvlText w:val="%1."/>
      <w:lvlJc w:val="left"/>
      <w:pPr>
        <w:ind w:left="709" w:hanging="425"/>
      </w:pPr>
      <w:rPr>
        <w:rFonts w:hint="eastAsia"/>
      </w:rPr>
    </w:lvl>
    <w:lvl w:ilvl="1" w:tentative="1">
      <w:start w:val="1"/>
      <w:numFmt w:val="decimal"/>
      <w:lvlText w:val="%1.%2"/>
      <w:lvlJc w:val="left"/>
      <w:pPr>
        <w:ind w:left="425" w:hanging="425"/>
      </w:pPr>
      <w:rPr>
        <w:rFonts w:hint="eastAsia"/>
      </w:rPr>
    </w:lvl>
    <w:lvl w:ilvl="2" w:tentative="1">
      <w:start w:val="1"/>
      <w:numFmt w:val="decimal"/>
      <w:lvlText w:val="%1.%2.%3"/>
      <w:lvlJc w:val="left"/>
      <w:pPr>
        <w:ind w:left="737" w:hanging="737"/>
      </w:pPr>
      <w:rPr>
        <w:rFonts w:hint="eastAsia"/>
      </w:rPr>
    </w:lvl>
    <w:lvl w:ilvl="3" w:tentative="1">
      <w:start w:val="1"/>
      <w:numFmt w:val="none"/>
      <w:lvlText w:val="（1）"/>
      <w:lvlJc w:val="left"/>
      <w:pPr>
        <w:ind w:left="1361" w:hanging="624"/>
      </w:pPr>
      <w:rPr>
        <w:rFonts w:hint="eastAsia"/>
        <w:b w:val="0"/>
      </w:rPr>
    </w:lvl>
    <w:lvl w:ilvl="4" w:tentative="1">
      <w:start w:val="1"/>
      <w:numFmt w:val="none"/>
      <w:lvlText w:val="A"/>
      <w:lvlJc w:val="left"/>
      <w:pPr>
        <w:tabs>
          <w:tab w:val="left" w:pos="7371"/>
        </w:tabs>
        <w:ind w:left="1361" w:hanging="397"/>
      </w:pPr>
      <w:rPr>
        <w:rFonts w:hint="eastAsia"/>
      </w:rPr>
    </w:lvl>
    <w:lvl w:ilvl="5" w:tentative="1">
      <w:start w:val="1"/>
      <w:numFmt w:val="none"/>
      <w:lvlText w:val="a"/>
      <w:lvlJc w:val="left"/>
      <w:pPr>
        <w:ind w:left="1361" w:hanging="397"/>
      </w:pPr>
      <w:rPr>
        <w:rFonts w:hint="eastAsia" w:eastAsia="宋体"/>
        <w:sz w:val="24"/>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231502633">
    <w:nsid w:val="0DCC7329"/>
    <w:multiLevelType w:val="singleLevel"/>
    <w:tmpl w:val="0DCC7329"/>
    <w:lvl w:ilvl="0" w:tentative="1">
      <w:start w:val="1"/>
      <w:numFmt w:val="decimal"/>
      <w:suff w:val="nothing"/>
      <w:lvlText w:val="%1、"/>
      <w:lvlJc w:val="left"/>
    </w:lvl>
  </w:abstractNum>
  <w:num w:numId="1">
    <w:abstractNumId w:val="7"/>
  </w:num>
  <w:num w:numId="2">
    <w:abstractNumId w:val="9"/>
  </w:num>
  <w:num w:numId="3">
    <w:abstractNumId w:val="2448557871"/>
  </w:num>
  <w:num w:numId="4">
    <w:abstractNumId w:val="824706853"/>
  </w:num>
  <w:num w:numId="5">
    <w:abstractNumId w:val="3655977124"/>
  </w:num>
  <w:num w:numId="6">
    <w:abstractNumId w:val="4260333970"/>
  </w:num>
  <w:num w:numId="7">
    <w:abstractNumId w:val="231502633"/>
  </w:num>
  <w:num w:numId="8">
    <w:abstractNumId w:val="4274703370"/>
  </w:num>
  <w:num w:numId="9">
    <w:abstractNumId w:val="2646148099"/>
  </w:num>
  <w:num w:numId="10">
    <w:abstractNumId w:val="41797423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docVars>
    <w:docVar w:name="commondata" w:val="eyJoZGlkIjoiN2ZhNWFmYTBkMzA0MDkyOGRiODIxMGQ0YTUxNTdlZDUifQ=="/>
  </w:docVars>
  <w:rsids>
    <w:rsidRoot w:val="00000000"/>
    <w:rsid w:val="02990599"/>
    <w:rsid w:val="0591421F"/>
    <w:rsid w:val="0B1838CE"/>
    <w:rsid w:val="11D9279D"/>
    <w:rsid w:val="12573676"/>
    <w:rsid w:val="16C02AB4"/>
    <w:rsid w:val="177E3FF8"/>
    <w:rsid w:val="3092764F"/>
    <w:rsid w:val="3DF63C40"/>
    <w:rsid w:val="4B857487"/>
    <w:rsid w:val="63D23266"/>
    <w:rsid w:val="6B836E00"/>
    <w:rsid w:val="6E8D28C9"/>
    <w:rsid w:val="764932C4"/>
    <w:rsid w:val="7893596A"/>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iPriority="99"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7"/>
    <w:qFormat/>
    <w:uiPriority w:val="0"/>
    <w:pPr>
      <w:keepNext/>
      <w:numPr>
        <w:ilvl w:val="0"/>
        <w:numId w:val="1"/>
      </w:numPr>
      <w:tabs>
        <w:tab w:val="left" w:pos="420"/>
      </w:tabs>
      <w:spacing w:line="360" w:lineRule="auto"/>
      <w:outlineLvl w:val="0"/>
    </w:pPr>
    <w:rPr>
      <w:bCs/>
      <w:sz w:val="28"/>
      <w:szCs w:val="24"/>
    </w:rPr>
  </w:style>
  <w:style w:type="paragraph" w:styleId="3">
    <w:name w:val="heading 2"/>
    <w:basedOn w:val="1"/>
    <w:next w:val="4"/>
    <w:link w:val="41"/>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link w:val="39"/>
    <w:qFormat/>
    <w:uiPriority w:val="0"/>
    <w:pPr>
      <w:keepNext/>
      <w:keepLines/>
      <w:spacing w:before="260" w:after="260" w:line="416" w:lineRule="auto"/>
      <w:outlineLvl w:val="2"/>
    </w:pPr>
    <w:rPr>
      <w:b/>
      <w:bCs/>
      <w:sz w:val="32"/>
      <w:szCs w:val="32"/>
    </w:rPr>
  </w:style>
  <w:style w:type="paragraph" w:styleId="7">
    <w:name w:val="heading 4"/>
    <w:basedOn w:val="1"/>
    <w:next w:val="1"/>
    <w:link w:val="44"/>
    <w:qFormat/>
    <w:uiPriority w:val="0"/>
    <w:pPr>
      <w:keepNext/>
      <w:keepLines/>
      <w:spacing w:before="280" w:after="290" w:line="376" w:lineRule="auto"/>
      <w:outlineLvl w:val="3"/>
    </w:pPr>
    <w:rPr>
      <w:rFonts w:ascii="Cambria" w:hAnsi="Cambria"/>
      <w:b/>
      <w:bCs/>
      <w:sz w:val="28"/>
      <w:szCs w:val="28"/>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5"/>
    <w:unhideWhenUsed/>
    <w:qFormat/>
    <w:uiPriority w:val="99"/>
    <w:pPr>
      <w:ind w:firstLine="420" w:firstLineChars="100"/>
    </w:pPr>
  </w:style>
  <w:style w:type="paragraph" w:styleId="5">
    <w:name w:val="Body Text"/>
    <w:basedOn w:val="1"/>
    <w:unhideWhenUsed/>
    <w:qFormat/>
    <w:uiPriority w:val="99"/>
    <w:pPr>
      <w:spacing w:after="120" w:afterAutospacing="0"/>
    </w:pPr>
  </w:style>
  <w:style w:type="paragraph" w:styleId="8">
    <w:name w:val="annotation subject"/>
    <w:basedOn w:val="9"/>
    <w:next w:val="9"/>
    <w:link w:val="36"/>
    <w:unhideWhenUsed/>
    <w:qFormat/>
    <w:uiPriority w:val="99"/>
    <w:rPr>
      <w:b/>
      <w:bCs/>
    </w:rPr>
  </w:style>
  <w:style w:type="paragraph" w:styleId="9">
    <w:name w:val="annotation text"/>
    <w:basedOn w:val="1"/>
    <w:link w:val="42"/>
    <w:unhideWhenUsed/>
    <w:qFormat/>
    <w:uiPriority w:val="99"/>
    <w:pPr>
      <w:jc w:val="left"/>
    </w:pPr>
  </w:style>
  <w:style w:type="paragraph" w:styleId="10">
    <w:name w:val="toc 7"/>
    <w:basedOn w:val="1"/>
    <w:next w:val="1"/>
    <w:qFormat/>
    <w:uiPriority w:val="0"/>
    <w:pPr>
      <w:ind w:left="1260"/>
      <w:jc w:val="left"/>
    </w:pPr>
    <w:rPr>
      <w:rFonts w:ascii="Calibri" w:hAnsi="Calibri" w:cs="Calibri"/>
      <w:sz w:val="18"/>
      <w:szCs w:val="18"/>
    </w:rPr>
  </w:style>
  <w:style w:type="paragraph" w:styleId="11">
    <w:name w:val="Normal Indent"/>
    <w:basedOn w:val="1"/>
    <w:qFormat/>
    <w:uiPriority w:val="0"/>
    <w:pPr>
      <w:ind w:firstLine="420"/>
    </w:pPr>
  </w:style>
  <w:style w:type="paragraph" w:styleId="12">
    <w:name w:val="Document Map"/>
    <w:basedOn w:val="1"/>
    <w:link w:val="38"/>
    <w:qFormat/>
    <w:uiPriority w:val="0"/>
    <w:rPr>
      <w:rFonts w:ascii="宋体"/>
      <w:sz w:val="18"/>
      <w:szCs w:val="18"/>
    </w:rPr>
  </w:style>
  <w:style w:type="paragraph" w:styleId="13">
    <w:name w:val="Body Text Indent"/>
    <w:basedOn w:val="1"/>
    <w:link w:val="43"/>
    <w:qFormat/>
    <w:uiPriority w:val="0"/>
    <w:pPr>
      <w:spacing w:line="360" w:lineRule="auto"/>
      <w:ind w:firstLine="480" w:firstLineChars="200"/>
    </w:pPr>
    <w:rPr>
      <w:color w:val="000000"/>
      <w:sz w:val="24"/>
      <w:szCs w:val="24"/>
    </w:rPr>
  </w:style>
  <w:style w:type="paragraph" w:styleId="14">
    <w:name w:val="toc 5"/>
    <w:basedOn w:val="1"/>
    <w:next w:val="1"/>
    <w:qFormat/>
    <w:uiPriority w:val="0"/>
    <w:pPr>
      <w:ind w:left="840"/>
      <w:jc w:val="left"/>
    </w:pPr>
    <w:rPr>
      <w:rFonts w:ascii="Calibri" w:hAnsi="Calibri" w:cs="Calibri"/>
      <w:sz w:val="18"/>
      <w:szCs w:val="18"/>
    </w:rPr>
  </w:style>
  <w:style w:type="paragraph" w:styleId="15">
    <w:name w:val="toc 3"/>
    <w:basedOn w:val="1"/>
    <w:next w:val="1"/>
    <w:qFormat/>
    <w:uiPriority w:val="39"/>
    <w:pPr>
      <w:ind w:left="420"/>
      <w:jc w:val="left"/>
    </w:pPr>
    <w:rPr>
      <w:rFonts w:ascii="Calibri" w:hAnsi="Calibri" w:cs="Calibri"/>
      <w:i/>
      <w:iCs/>
      <w:sz w:val="20"/>
    </w:rPr>
  </w:style>
  <w:style w:type="paragraph" w:styleId="16">
    <w:name w:val="toc 8"/>
    <w:basedOn w:val="1"/>
    <w:next w:val="1"/>
    <w:qFormat/>
    <w:uiPriority w:val="0"/>
    <w:pPr>
      <w:ind w:left="1470"/>
      <w:jc w:val="left"/>
    </w:pPr>
    <w:rPr>
      <w:rFonts w:ascii="Calibri" w:hAnsi="Calibri" w:cs="Calibri"/>
      <w:sz w:val="18"/>
      <w:szCs w:val="18"/>
    </w:rPr>
  </w:style>
  <w:style w:type="paragraph" w:styleId="17">
    <w:name w:val="Balloon Text"/>
    <w:basedOn w:val="1"/>
    <w:link w:val="40"/>
    <w:qFormat/>
    <w:uiPriority w:val="0"/>
    <w:rPr>
      <w:sz w:val="18"/>
      <w:szCs w:val="18"/>
    </w:rPr>
  </w:style>
  <w:style w:type="paragraph" w:styleId="18">
    <w:name w:val="footer"/>
    <w:basedOn w:val="1"/>
    <w:link w:val="46"/>
    <w:qFormat/>
    <w:uiPriority w:val="99"/>
    <w:pPr>
      <w:tabs>
        <w:tab w:val="center" w:pos="4153"/>
        <w:tab w:val="right" w:pos="8306"/>
      </w:tabs>
      <w:snapToGrid w:val="0"/>
      <w:jc w:val="left"/>
    </w:pPr>
    <w:rPr>
      <w:sz w:val="18"/>
    </w:rPr>
  </w:style>
  <w:style w:type="paragraph" w:styleId="19">
    <w:name w:val="header"/>
    <w:basedOn w:val="1"/>
    <w:link w:val="4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0">
    <w:name w:val="toc 1"/>
    <w:basedOn w:val="1"/>
    <w:next w:val="1"/>
    <w:link w:val="45"/>
    <w:qFormat/>
    <w:uiPriority w:val="0"/>
    <w:rPr>
      <w:rFonts w:ascii="Calibri" w:hAnsi="Calibri"/>
      <w:bCs/>
      <w:caps/>
      <w:sz w:val="24"/>
    </w:rPr>
  </w:style>
  <w:style w:type="paragraph" w:styleId="21">
    <w:name w:val="toc 4"/>
    <w:basedOn w:val="1"/>
    <w:next w:val="1"/>
    <w:qFormat/>
    <w:uiPriority w:val="0"/>
    <w:pPr>
      <w:ind w:left="630"/>
      <w:jc w:val="left"/>
    </w:pPr>
    <w:rPr>
      <w:rFonts w:ascii="Calibri" w:hAnsi="Calibri" w:cs="Calibri"/>
      <w:sz w:val="18"/>
      <w:szCs w:val="18"/>
    </w:rPr>
  </w:style>
  <w:style w:type="paragraph" w:styleId="22">
    <w:name w:val="toc 6"/>
    <w:basedOn w:val="1"/>
    <w:next w:val="1"/>
    <w:qFormat/>
    <w:uiPriority w:val="0"/>
    <w:pPr>
      <w:ind w:left="1050"/>
      <w:jc w:val="left"/>
    </w:pPr>
    <w:rPr>
      <w:rFonts w:ascii="Calibri" w:hAnsi="Calibri" w:cs="Calibri"/>
      <w:sz w:val="18"/>
      <w:szCs w:val="18"/>
    </w:rPr>
  </w:style>
  <w:style w:type="paragraph" w:styleId="23">
    <w:name w:val="toc 2"/>
    <w:basedOn w:val="1"/>
    <w:next w:val="1"/>
    <w:qFormat/>
    <w:uiPriority w:val="39"/>
    <w:pPr>
      <w:ind w:left="200" w:leftChars="200"/>
    </w:pPr>
    <w:rPr>
      <w:rFonts w:ascii="Calibri" w:hAnsi="Calibri" w:cs="Calibri"/>
      <w:smallCaps/>
      <w:sz w:val="24"/>
    </w:rPr>
  </w:style>
  <w:style w:type="paragraph" w:styleId="24">
    <w:name w:val="toc 9"/>
    <w:basedOn w:val="1"/>
    <w:next w:val="1"/>
    <w:qFormat/>
    <w:uiPriority w:val="0"/>
    <w:pPr>
      <w:ind w:left="1680"/>
      <w:jc w:val="left"/>
    </w:pPr>
    <w:rPr>
      <w:rFonts w:ascii="Calibri" w:hAnsi="Calibri" w:cs="Calibri"/>
      <w:sz w:val="18"/>
      <w:szCs w:val="18"/>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paragraph" w:customStyle="1" w:styleId="29">
    <w:name w:val="列出段落1"/>
    <w:basedOn w:val="1"/>
    <w:qFormat/>
    <w:uiPriority w:val="0"/>
    <w:pPr>
      <w:ind w:firstLine="420" w:firstLineChars="200"/>
    </w:pPr>
    <w:rPr>
      <w:szCs w:val="24"/>
    </w:rPr>
  </w:style>
  <w:style w:type="paragraph" w:customStyle="1" w:styleId="30">
    <w:name w:val="修订1"/>
    <w:qFormat/>
    <w:uiPriority w:val="0"/>
    <w:rPr>
      <w:rFonts w:ascii="Times New Roman" w:hAnsi="Times New Roman" w:eastAsia="宋体" w:cs="Times New Roman"/>
      <w:kern w:val="2"/>
      <w:sz w:val="21"/>
      <w:lang w:val="en-US" w:eastAsia="zh-CN" w:bidi="ar-SA"/>
    </w:rPr>
  </w:style>
  <w:style w:type="paragraph" w:customStyle="1" w:styleId="31">
    <w:name w:val="TOC 标题1"/>
    <w:basedOn w:val="2"/>
    <w:next w:val="1"/>
    <w:unhideWhenUsed/>
    <w:qFormat/>
    <w:uiPriority w:val="39"/>
    <w:pPr>
      <w:keepLines/>
      <w:widowControl/>
      <w:numPr>
        <w:ilvl w:val="0"/>
        <w:numId w:val="0"/>
      </w:numPr>
      <w:spacing w:before="240" w:line="259" w:lineRule="auto"/>
      <w:jc w:val="left"/>
      <w:outlineLvl w:val="9"/>
    </w:pPr>
    <w:rPr>
      <w:rFonts w:ascii="Calibri Light" w:hAnsi="Calibri Light"/>
      <w:bCs w:val="0"/>
      <w:color w:val="2E74B5"/>
      <w:kern w:val="0"/>
      <w:sz w:val="32"/>
      <w:szCs w:val="32"/>
    </w:rPr>
  </w:style>
  <w:style w:type="paragraph" w:customStyle="1" w:styleId="32">
    <w:name w:val="列出段落11"/>
    <w:basedOn w:val="1"/>
    <w:qFormat/>
    <w:uiPriority w:val="0"/>
    <w:pPr>
      <w:ind w:firstLine="420" w:firstLineChars="200"/>
    </w:pPr>
    <w:rPr>
      <w:szCs w:val="24"/>
    </w:rPr>
  </w:style>
  <w:style w:type="paragraph" w:customStyle="1" w:styleId="33">
    <w:name w:val="正文+首行缩进2 字符"/>
    <w:basedOn w:val="1"/>
    <w:qFormat/>
    <w:uiPriority w:val="0"/>
    <w:pPr>
      <w:spacing w:line="360" w:lineRule="auto"/>
      <w:ind w:firstLine="200" w:firstLineChars="200"/>
    </w:pPr>
    <w:rPr>
      <w:rFonts w:ascii="Arial" w:hAnsi="Arial" w:cs="宋体"/>
    </w:rPr>
  </w:style>
  <w:style w:type="paragraph" w:customStyle="1" w:styleId="34">
    <w:name w:val="列出段落2"/>
    <w:basedOn w:val="1"/>
    <w:qFormat/>
    <w:uiPriority w:val="34"/>
    <w:pPr>
      <w:ind w:firstLine="420" w:firstLineChars="200"/>
    </w:pPr>
  </w:style>
  <w:style w:type="paragraph" w:customStyle="1" w:styleId="35">
    <w:name w:val="二级正文"/>
    <w:basedOn w:val="1"/>
    <w:qFormat/>
    <w:uiPriority w:val="0"/>
    <w:pPr>
      <w:spacing w:before="120" w:line="288" w:lineRule="auto"/>
      <w:ind w:left="420" w:firstLine="420"/>
    </w:pPr>
    <w:rPr>
      <w:rFonts w:cs="宋体"/>
    </w:rPr>
  </w:style>
  <w:style w:type="character" w:customStyle="1" w:styleId="36">
    <w:name w:val="批注主题 Char"/>
    <w:link w:val="8"/>
    <w:semiHidden/>
    <w:qFormat/>
    <w:uiPriority w:val="99"/>
    <w:rPr>
      <w:b/>
      <w:bCs/>
      <w:kern w:val="2"/>
      <w:sz w:val="21"/>
    </w:rPr>
  </w:style>
  <w:style w:type="character" w:customStyle="1" w:styleId="37">
    <w:name w:val="标题 1 Char"/>
    <w:link w:val="2"/>
    <w:qFormat/>
    <w:uiPriority w:val="0"/>
    <w:rPr>
      <w:bCs/>
      <w:kern w:val="2"/>
      <w:sz w:val="28"/>
      <w:szCs w:val="24"/>
    </w:rPr>
  </w:style>
  <w:style w:type="character" w:customStyle="1" w:styleId="38">
    <w:name w:val="文档结构图 Char"/>
    <w:link w:val="12"/>
    <w:qFormat/>
    <w:uiPriority w:val="0"/>
    <w:rPr>
      <w:rFonts w:ascii="宋体"/>
      <w:kern w:val="2"/>
      <w:sz w:val="18"/>
      <w:szCs w:val="18"/>
    </w:rPr>
  </w:style>
  <w:style w:type="character" w:customStyle="1" w:styleId="39">
    <w:name w:val="标题 3 Char"/>
    <w:link w:val="6"/>
    <w:qFormat/>
    <w:uiPriority w:val="0"/>
    <w:rPr>
      <w:b/>
      <w:bCs/>
      <w:kern w:val="2"/>
      <w:sz w:val="32"/>
      <w:szCs w:val="32"/>
    </w:rPr>
  </w:style>
  <w:style w:type="character" w:customStyle="1" w:styleId="40">
    <w:name w:val="批注框文本 Char"/>
    <w:link w:val="17"/>
    <w:qFormat/>
    <w:uiPriority w:val="0"/>
    <w:rPr>
      <w:kern w:val="2"/>
      <w:sz w:val="18"/>
      <w:szCs w:val="18"/>
    </w:rPr>
  </w:style>
  <w:style w:type="character" w:customStyle="1" w:styleId="41">
    <w:name w:val="标题 2 Char"/>
    <w:link w:val="3"/>
    <w:qFormat/>
    <w:uiPriority w:val="0"/>
    <w:rPr>
      <w:rFonts w:ascii="Arial" w:hAnsi="Arial" w:eastAsia="黑体"/>
      <w:b/>
      <w:bCs/>
      <w:kern w:val="2"/>
      <w:sz w:val="32"/>
      <w:szCs w:val="32"/>
    </w:rPr>
  </w:style>
  <w:style w:type="character" w:customStyle="1" w:styleId="42">
    <w:name w:val="批注文字 Char"/>
    <w:link w:val="9"/>
    <w:semiHidden/>
    <w:qFormat/>
    <w:uiPriority w:val="99"/>
    <w:rPr>
      <w:kern w:val="2"/>
      <w:sz w:val="21"/>
    </w:rPr>
  </w:style>
  <w:style w:type="character" w:customStyle="1" w:styleId="43">
    <w:name w:val="正文文本缩进 Char"/>
    <w:link w:val="13"/>
    <w:qFormat/>
    <w:uiPriority w:val="0"/>
    <w:rPr>
      <w:color w:val="000000"/>
      <w:kern w:val="2"/>
      <w:sz w:val="24"/>
      <w:szCs w:val="24"/>
    </w:rPr>
  </w:style>
  <w:style w:type="character" w:customStyle="1" w:styleId="44">
    <w:name w:val="标题 4 Char"/>
    <w:link w:val="7"/>
    <w:qFormat/>
    <w:uiPriority w:val="0"/>
    <w:rPr>
      <w:rFonts w:ascii="Cambria" w:hAnsi="Cambria" w:eastAsia="宋体" w:cs="Times New Roman"/>
      <w:b/>
      <w:bCs/>
      <w:kern w:val="2"/>
      <w:sz w:val="28"/>
      <w:szCs w:val="28"/>
    </w:rPr>
  </w:style>
  <w:style w:type="character" w:customStyle="1" w:styleId="45">
    <w:name w:val="目录 1 Char"/>
    <w:link w:val="20"/>
    <w:qFormat/>
    <w:uiPriority w:val="0"/>
    <w:rPr>
      <w:rFonts w:ascii="Calibri" w:hAnsi="Calibri" w:cs="Calibri"/>
      <w:bCs/>
      <w:caps/>
      <w:kern w:val="2"/>
      <w:sz w:val="24"/>
    </w:rPr>
  </w:style>
  <w:style w:type="character" w:customStyle="1" w:styleId="46">
    <w:name w:val="页脚 Char"/>
    <w:link w:val="18"/>
    <w:qFormat/>
    <w:uiPriority w:val="99"/>
    <w:rPr>
      <w:kern w:val="2"/>
      <w:sz w:val="18"/>
    </w:rPr>
  </w:style>
  <w:style w:type="character" w:customStyle="1" w:styleId="47">
    <w:name w:val="页眉 Char"/>
    <w:link w:val="19"/>
    <w:qFormat/>
    <w:uiPriority w:val="99"/>
    <w:rPr>
      <w:kern w:val="2"/>
      <w:sz w:val="18"/>
    </w:rPr>
  </w:style>
  <w:style w:type="character" w:customStyle="1" w:styleId="48">
    <w:name w:val="font51"/>
    <w:basedOn w:val="25"/>
    <w:qFormat/>
    <w:uiPriority w:val="0"/>
    <w:rPr>
      <w:rFonts w:hint="eastAsia" w:ascii="宋体" w:hAnsi="宋体" w:eastAsia="宋体" w:cs="宋体"/>
      <w:b/>
      <w:bCs/>
      <w:color w:val="000000"/>
      <w:sz w:val="22"/>
      <w:szCs w:val="22"/>
      <w:u w:val="none"/>
    </w:rPr>
  </w:style>
  <w:style w:type="character" w:customStyle="1" w:styleId="49">
    <w:name w:val="font21"/>
    <w:basedOn w:val="25"/>
    <w:qFormat/>
    <w:uiPriority w:val="0"/>
    <w:rPr>
      <w:rFonts w:hint="eastAsia" w:ascii="宋体" w:hAnsi="宋体" w:eastAsia="宋体" w:cs="宋体"/>
      <w:b/>
      <w:bCs/>
      <w:color w:val="FF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6666</Words>
  <Characters>7502</Characters>
  <Lines>8</Lines>
  <Paragraphs>2</Paragraphs>
  <TotalTime>0</TotalTime>
  <ScaleCrop>false</ScaleCrop>
  <LinksUpToDate>false</LinksUpToDate>
  <CharactersWithSpaces>7791</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2018-03-25T10:39:00Z</dcterms:created>
  <dc:creator>gcb</dc:creator>
  <cp:lastModifiedBy>chu</cp:lastModifiedBy>
  <cp:lastPrinted>2017-10-31T11:10:00Z</cp:lastPrinted>
  <dcterms:modified xsi:type="dcterms:W3CDTF">2023-01-18T05:34:08Z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y fmtid="{D5CDD505-2E9C-101B-9397-08002B2CF9AE}" pid="3" name="ICV">
    <vt:lpwstr>0D488911C29A47309CBCC6DF2E06B33E</vt:lpwstr>
  </property>
</Properties>
</file>