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2767" w:rsidRDefault="00EE2767" w:rsidP="00EE2767">
      <w:pPr>
        <w:pStyle w:val="Title"/>
        <w:rPr>
          <w:rFonts w:cs="Times New Roman"/>
        </w:rPr>
      </w:pPr>
      <w:r w:rsidRPr="00CD5B74">
        <w:rPr>
          <w:rFonts w:cs="Times New Roman"/>
        </w:rPr>
        <w:t xml:space="preserve">ESM00385X1 Field Observation of </w:t>
      </w:r>
      <w:r w:rsidR="00034E80">
        <w:rPr>
          <w:rFonts w:cs="Times New Roman"/>
        </w:rPr>
        <w:t>Shopping Bag Behaviour</w:t>
      </w:r>
    </w:p>
    <w:p w:rsidR="0098006C" w:rsidRPr="0098006C" w:rsidRDefault="0098006C" w:rsidP="0098006C">
      <w:pPr>
        <w:pStyle w:val="Subtitle"/>
      </w:pPr>
      <w:r>
        <w:t>Technical note</w:t>
      </w:r>
    </w:p>
    <w:p w:rsidR="00EE2767" w:rsidRPr="00CD5B74" w:rsidRDefault="00EE2767" w:rsidP="00EE2767">
      <w:pPr>
        <w:pStyle w:val="Heading1"/>
        <w:rPr>
          <w:rFonts w:cs="Times New Roman"/>
        </w:rPr>
      </w:pPr>
      <w:r w:rsidRPr="00CD5B74">
        <w:rPr>
          <w:rFonts w:cs="Times New Roman"/>
        </w:rPr>
        <w:t>Methodology</w:t>
      </w:r>
    </w:p>
    <w:p w:rsidR="00D05847" w:rsidRPr="00CD5B74" w:rsidRDefault="00CD5B74" w:rsidP="00D05847">
      <w:pPr>
        <w:rPr>
          <w:rFonts w:cs="Times New Roman"/>
        </w:rPr>
      </w:pPr>
      <w:r w:rsidRPr="00CD5B74">
        <w:rPr>
          <w:rFonts w:cs="Times New Roman"/>
        </w:rPr>
        <w:t xml:space="preserve">The observation study was conducted across four different supermarkets in both England and Wales to assess changes in shoppers’ bag use before and after the introduction of the English plastic bag charge of October 2015. </w:t>
      </w:r>
      <w:r w:rsidR="00D05847" w:rsidRPr="00CD5B74">
        <w:rPr>
          <w:rFonts w:cs="Times New Roman"/>
        </w:rPr>
        <w:t>The study was approved by the Welsh School of Architecture Research Ethics Committee at Cardiff University (EC</w:t>
      </w:r>
      <w:bookmarkStart w:id="0" w:name="_GoBack"/>
      <w:bookmarkEnd w:id="0"/>
      <w:r w:rsidR="00D05847" w:rsidRPr="00CD5B74">
        <w:rPr>
          <w:rFonts w:cs="Times New Roman"/>
        </w:rPr>
        <w:t>1506.237).</w:t>
      </w:r>
    </w:p>
    <w:p w:rsidR="00D05847" w:rsidRDefault="00CD5B74" w:rsidP="00CD5B74">
      <w:pPr>
        <w:rPr>
          <w:rFonts w:cs="Times New Roman"/>
        </w:rPr>
      </w:pPr>
      <w:r w:rsidRPr="00CD5B74">
        <w:rPr>
          <w:rFonts w:cs="Times New Roman"/>
        </w:rPr>
        <w:t xml:space="preserve">Observations were made in July 2015, when only the Welsh bag charge was in place, and in July 2016, after the English bag charge was introduced. </w:t>
      </w:r>
      <w:r w:rsidR="00D05847">
        <w:rPr>
          <w:rFonts w:cs="Times New Roman"/>
        </w:rPr>
        <w:t xml:space="preserve">Fieldwork in 2015 was undertaken between the </w:t>
      </w:r>
      <w:r w:rsidR="00D05847" w:rsidRPr="00D05847">
        <w:rPr>
          <w:rFonts w:cs="Times New Roman"/>
        </w:rPr>
        <w:t>25th June to 25th July</w:t>
      </w:r>
      <w:r w:rsidR="00D05847">
        <w:rPr>
          <w:rFonts w:cs="Times New Roman"/>
        </w:rPr>
        <w:t>, and fieldwork in 2016 undertaken from 22nd June to 23rd July.</w:t>
      </w:r>
    </w:p>
    <w:p w:rsidR="00CD5B74" w:rsidRPr="00CD5B74" w:rsidRDefault="00CD5B74" w:rsidP="00CD5B74">
      <w:pPr>
        <w:rPr>
          <w:rFonts w:cs="Times New Roman"/>
        </w:rPr>
      </w:pPr>
      <w:r w:rsidRPr="00CD5B74">
        <w:rPr>
          <w:rFonts w:cs="Times New Roman"/>
        </w:rPr>
        <w:t>The study was conducted in Cardiff, Wales and Bristol, England: two cities that located near each other and of similar population size</w:t>
      </w:r>
      <w:r w:rsidR="00E041E2">
        <w:rPr>
          <w:rFonts w:cs="Times New Roman"/>
        </w:rPr>
        <w:t>s</w:t>
      </w:r>
      <w:r w:rsidRPr="00CD5B74">
        <w:rPr>
          <w:rFonts w:cs="Times New Roman"/>
        </w:rPr>
        <w:t>. Observations</w:t>
      </w:r>
      <w:r w:rsidR="00E041E2">
        <w:rPr>
          <w:rFonts w:cs="Times New Roman"/>
        </w:rPr>
        <w:t xml:space="preserve"> of bag use</w:t>
      </w:r>
      <w:r w:rsidRPr="00CD5B74">
        <w:rPr>
          <w:rFonts w:cs="Times New Roman"/>
        </w:rPr>
        <w:t xml:space="preserve"> took place at four different types of supermarkets</w:t>
      </w:r>
      <w:r w:rsidR="00D05847">
        <w:rPr>
          <w:rFonts w:cs="Times New Roman"/>
        </w:rPr>
        <w:t xml:space="preserve"> found within each city</w:t>
      </w:r>
      <w:r w:rsidRPr="00CD5B74">
        <w:rPr>
          <w:rFonts w:cs="Times New Roman"/>
        </w:rPr>
        <w:t>:</w:t>
      </w:r>
    </w:p>
    <w:p w:rsidR="00CD5B74" w:rsidRPr="00CD5B74" w:rsidRDefault="00CD5B74" w:rsidP="00CD5B74">
      <w:pPr>
        <w:pStyle w:val="ListParagraph"/>
        <w:numPr>
          <w:ilvl w:val="0"/>
          <w:numId w:val="2"/>
        </w:numPr>
        <w:rPr>
          <w:rFonts w:cs="Times New Roman"/>
        </w:rPr>
      </w:pPr>
      <w:r w:rsidRPr="00CD5B74">
        <w:rPr>
          <w:rFonts w:cs="Times New Roman"/>
        </w:rPr>
        <w:t>Local supermarket, located</w:t>
      </w:r>
      <w:r w:rsidR="00D05847">
        <w:rPr>
          <w:rFonts w:cs="Times New Roman"/>
        </w:rPr>
        <w:t xml:space="preserve"> in the middle of a city centre</w:t>
      </w:r>
    </w:p>
    <w:p w:rsidR="00CD5B74" w:rsidRPr="00CD5B74" w:rsidRDefault="00CD5B74" w:rsidP="00CD5B74">
      <w:pPr>
        <w:pStyle w:val="ListParagraph"/>
        <w:numPr>
          <w:ilvl w:val="0"/>
          <w:numId w:val="2"/>
        </w:numPr>
        <w:rPr>
          <w:rFonts w:cs="Times New Roman"/>
        </w:rPr>
      </w:pPr>
      <w:r w:rsidRPr="00CD5B74">
        <w:rPr>
          <w:rFonts w:cs="Times New Roman"/>
        </w:rPr>
        <w:t>Budget supermarket, locat</w:t>
      </w:r>
      <w:r w:rsidR="00D05847">
        <w:rPr>
          <w:rFonts w:cs="Times New Roman"/>
        </w:rPr>
        <w:t>ed on the edge of a city centre</w:t>
      </w:r>
    </w:p>
    <w:p w:rsidR="00CD5B74" w:rsidRPr="00CD5B74" w:rsidRDefault="00CD5B74" w:rsidP="00CD5B74">
      <w:pPr>
        <w:pStyle w:val="ListParagraph"/>
        <w:numPr>
          <w:ilvl w:val="0"/>
          <w:numId w:val="2"/>
        </w:numPr>
        <w:rPr>
          <w:rFonts w:cs="Times New Roman"/>
        </w:rPr>
      </w:pPr>
      <w:r w:rsidRPr="00CD5B74">
        <w:rPr>
          <w:rFonts w:cs="Times New Roman"/>
        </w:rPr>
        <w:t>Mid-range supermarket, locat</w:t>
      </w:r>
      <w:r w:rsidR="00D05847">
        <w:rPr>
          <w:rFonts w:cs="Times New Roman"/>
        </w:rPr>
        <w:t>ed on the edge of a city centre</w:t>
      </w:r>
    </w:p>
    <w:p w:rsidR="00CD5B74" w:rsidRDefault="00CD5B74" w:rsidP="00CD5B74">
      <w:pPr>
        <w:pStyle w:val="ListParagraph"/>
        <w:numPr>
          <w:ilvl w:val="0"/>
          <w:numId w:val="2"/>
        </w:numPr>
        <w:rPr>
          <w:rFonts w:cs="Times New Roman"/>
        </w:rPr>
      </w:pPr>
      <w:r w:rsidRPr="00CD5B74">
        <w:rPr>
          <w:rFonts w:cs="Times New Roman"/>
        </w:rPr>
        <w:t>Premium supermarket, locat</w:t>
      </w:r>
      <w:r w:rsidR="00D05847">
        <w:rPr>
          <w:rFonts w:cs="Times New Roman"/>
        </w:rPr>
        <w:t>ed on the edge of a city centre</w:t>
      </w:r>
    </w:p>
    <w:p w:rsidR="00E041E2" w:rsidRPr="00E041E2" w:rsidRDefault="00E041E2" w:rsidP="00E041E2">
      <w:pPr>
        <w:rPr>
          <w:rFonts w:cs="Times New Roman"/>
        </w:rPr>
      </w:pPr>
      <w:r w:rsidRPr="00E041E2">
        <w:rPr>
          <w:rFonts w:cs="Times New Roman"/>
        </w:rPr>
        <w:t xml:space="preserve">Supermarket brand status was derived from </w:t>
      </w:r>
      <w:proofErr w:type="spellStart"/>
      <w:r w:rsidRPr="00E041E2">
        <w:rPr>
          <w:rFonts w:cs="Times New Roman"/>
        </w:rPr>
        <w:t>YouGov</w:t>
      </w:r>
      <w:proofErr w:type="spellEnd"/>
      <w:r w:rsidRPr="00E041E2">
        <w:rPr>
          <w:rFonts w:cs="Times New Roman"/>
        </w:rPr>
        <w:t xml:space="preserve"> Profiles</w:t>
      </w:r>
      <w:r>
        <w:rPr>
          <w:rFonts w:cs="Times New Roman"/>
        </w:rPr>
        <w:t xml:space="preserve"> (</w:t>
      </w:r>
      <w:hyperlink r:id="rId5" w:history="1">
        <w:r w:rsidRPr="005F15B4">
          <w:rPr>
            <w:rStyle w:val="Hyperlink"/>
            <w:rFonts w:cs="Times New Roman"/>
          </w:rPr>
          <w:t>https://yougov.co.uk/find-solutions/profiles/</w:t>
        </w:r>
      </w:hyperlink>
      <w:r>
        <w:rPr>
          <w:rFonts w:cs="Times New Roman"/>
        </w:rPr>
        <w:t xml:space="preserve">) </w:t>
      </w:r>
      <w:r w:rsidRPr="00E041E2">
        <w:rPr>
          <w:rFonts w:cs="Times New Roman"/>
        </w:rPr>
        <w:t xml:space="preserve">using data from a survey panel representative of the UK. </w:t>
      </w:r>
      <w:proofErr w:type="spellStart"/>
      <w:r w:rsidRPr="00E041E2">
        <w:rPr>
          <w:rFonts w:cs="Times New Roman"/>
        </w:rPr>
        <w:t>YouGov</w:t>
      </w:r>
      <w:proofErr w:type="spellEnd"/>
      <w:r w:rsidRPr="00E041E2">
        <w:rPr>
          <w:rFonts w:cs="Times New Roman"/>
        </w:rPr>
        <w:t xml:space="preserve"> Profiles </w:t>
      </w:r>
      <w:r>
        <w:rPr>
          <w:rFonts w:cs="Times New Roman"/>
        </w:rPr>
        <w:t>provides</w:t>
      </w:r>
      <w:r w:rsidRPr="00E041E2">
        <w:rPr>
          <w:rFonts w:cs="Times New Roman"/>
        </w:rPr>
        <w:t xml:space="preserve"> </w:t>
      </w:r>
      <w:r>
        <w:rPr>
          <w:rFonts w:cs="Times New Roman"/>
        </w:rPr>
        <w:t xml:space="preserve">descriptive </w:t>
      </w:r>
      <w:r w:rsidRPr="00E041E2">
        <w:rPr>
          <w:rFonts w:cs="Times New Roman"/>
        </w:rPr>
        <w:t>data on shoppers who</w:t>
      </w:r>
      <w:r>
        <w:rPr>
          <w:rFonts w:cs="Times New Roman"/>
        </w:rPr>
        <w:t xml:space="preserve"> are likely to</w:t>
      </w:r>
      <w:r w:rsidRPr="00E041E2">
        <w:rPr>
          <w:rFonts w:cs="Times New Roman"/>
        </w:rPr>
        <w:t xml:space="preserve"> visit supermarket chains, </w:t>
      </w:r>
      <w:r>
        <w:rPr>
          <w:rFonts w:cs="Times New Roman"/>
        </w:rPr>
        <w:t>which includes</w:t>
      </w:r>
      <w:r w:rsidRPr="00E041E2">
        <w:rPr>
          <w:rFonts w:cs="Times New Roman"/>
        </w:rPr>
        <w:t xml:space="preserve"> the proportion of fit the National Readership Survey (NRS) social grade</w:t>
      </w:r>
      <w:r>
        <w:rPr>
          <w:rFonts w:cs="Times New Roman"/>
        </w:rPr>
        <w:t xml:space="preserve"> classifications</w:t>
      </w:r>
      <w:r w:rsidRPr="00E041E2">
        <w:rPr>
          <w:rFonts w:cs="Times New Roman"/>
        </w:rPr>
        <w:t xml:space="preserve"> of ABC1 (Upper and upper middle class)</w:t>
      </w:r>
      <w:r>
        <w:rPr>
          <w:rFonts w:cs="Times New Roman"/>
        </w:rPr>
        <w:t>,</w:t>
      </w:r>
      <w:r w:rsidRPr="00E041E2">
        <w:rPr>
          <w:rFonts w:cs="Times New Roman"/>
        </w:rPr>
        <w:t xml:space="preserve"> and those of C2DE social grade (working and non-working class). </w:t>
      </w:r>
      <w:r>
        <w:rPr>
          <w:rFonts w:cs="Times New Roman"/>
        </w:rPr>
        <w:t xml:space="preserve">Data from </w:t>
      </w:r>
      <w:proofErr w:type="spellStart"/>
      <w:r>
        <w:rPr>
          <w:rFonts w:cs="Times New Roman"/>
        </w:rPr>
        <w:t>YouGov</w:t>
      </w:r>
      <w:proofErr w:type="spellEnd"/>
      <w:r>
        <w:rPr>
          <w:rFonts w:cs="Times New Roman"/>
        </w:rPr>
        <w:t xml:space="preserve"> Profiles suggests that the UK population generally has 53% classified as ABC1 social grade, and proportions of those using the observed supermarket brands are: 46% of shoppers at the Budget supermarket were ABC1, 58% of shoppers at the mid-range supermarket were ABC1, and 73% of shoppers at the Premium supermarket were ABC1.</w:t>
      </w:r>
    </w:p>
    <w:p w:rsidR="00CD5B74" w:rsidRPr="00CD5B74" w:rsidRDefault="00CD5B74" w:rsidP="00CD5B74">
      <w:pPr>
        <w:rPr>
          <w:rFonts w:cs="Times New Roman"/>
        </w:rPr>
      </w:pPr>
      <w:r w:rsidRPr="00CD5B74">
        <w:rPr>
          <w:rFonts w:cs="Times New Roman"/>
        </w:rPr>
        <w:t>Observations were carried out by a pair of trained researchers who visited each supermarket for one hour at three different times: a weekday morning (10:30 to 11:30am), a weekday afternoon (4:30 to 5:30pm), and on a Saturday (either 11:00 to 12:00pm or 1:00 to 2:00pm). The total number of shoppers observed is shown in the table below.</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5"/>
        <w:gridCol w:w="656"/>
        <w:gridCol w:w="711"/>
        <w:gridCol w:w="656"/>
        <w:gridCol w:w="656"/>
      </w:tblGrid>
      <w:tr w:rsidR="00CD5B74" w:rsidRPr="00CD5B74" w:rsidTr="00CD5B74">
        <w:trPr>
          <w:jc w:val="center"/>
        </w:trPr>
        <w:tc>
          <w:tcPr>
            <w:tcW w:w="0" w:type="auto"/>
            <w:tcBorders>
              <w:top w:val="single" w:sz="4" w:space="0" w:color="auto"/>
            </w:tcBorders>
          </w:tcPr>
          <w:p w:rsidR="00CD5B74" w:rsidRPr="00CD5B74" w:rsidRDefault="00CD5B74" w:rsidP="00CD5B74">
            <w:pPr>
              <w:pStyle w:val="NoSpacing"/>
              <w:rPr>
                <w:rFonts w:cs="Times New Roman"/>
              </w:rPr>
            </w:pPr>
          </w:p>
        </w:tc>
        <w:tc>
          <w:tcPr>
            <w:tcW w:w="0" w:type="auto"/>
            <w:gridSpan w:val="2"/>
            <w:tcBorders>
              <w:top w:val="single" w:sz="4" w:space="0" w:color="auto"/>
            </w:tcBorders>
            <w:shd w:val="clear" w:color="auto" w:fill="auto"/>
            <w:vAlign w:val="center"/>
          </w:tcPr>
          <w:p w:rsidR="00CD5B74" w:rsidRPr="00CD5B74" w:rsidRDefault="00CD5B74" w:rsidP="00CD5B74">
            <w:pPr>
              <w:pStyle w:val="NoSpacing"/>
              <w:jc w:val="center"/>
              <w:rPr>
                <w:rFonts w:cs="Times New Roman"/>
              </w:rPr>
            </w:pPr>
            <w:r w:rsidRPr="00CD5B74">
              <w:rPr>
                <w:rFonts w:cs="Times New Roman"/>
                <w:bCs/>
              </w:rPr>
              <w:t>Wales</w:t>
            </w:r>
          </w:p>
        </w:tc>
        <w:tc>
          <w:tcPr>
            <w:tcW w:w="0" w:type="auto"/>
            <w:gridSpan w:val="2"/>
            <w:tcBorders>
              <w:top w:val="single" w:sz="4" w:space="0" w:color="auto"/>
            </w:tcBorders>
            <w:shd w:val="clear" w:color="auto" w:fill="auto"/>
            <w:vAlign w:val="center"/>
          </w:tcPr>
          <w:p w:rsidR="00CD5B74" w:rsidRPr="00CD5B74" w:rsidRDefault="00CD5B74" w:rsidP="00CD5B74">
            <w:pPr>
              <w:pStyle w:val="NoSpacing"/>
              <w:jc w:val="center"/>
              <w:rPr>
                <w:rFonts w:cs="Times New Roman"/>
              </w:rPr>
            </w:pPr>
            <w:r w:rsidRPr="00CD5B74">
              <w:rPr>
                <w:rFonts w:cs="Times New Roman"/>
                <w:bCs/>
              </w:rPr>
              <w:t>England</w:t>
            </w:r>
          </w:p>
        </w:tc>
      </w:tr>
      <w:tr w:rsidR="00CD5B74" w:rsidRPr="00CD5B74" w:rsidTr="00CD5B74">
        <w:trPr>
          <w:jc w:val="center"/>
        </w:trPr>
        <w:tc>
          <w:tcPr>
            <w:tcW w:w="0" w:type="auto"/>
            <w:tcBorders>
              <w:bottom w:val="single" w:sz="4" w:space="0" w:color="auto"/>
            </w:tcBorders>
          </w:tcPr>
          <w:p w:rsidR="00CD5B74" w:rsidRPr="00CD5B74" w:rsidRDefault="00CD5B74" w:rsidP="00CD5B74">
            <w:pPr>
              <w:pStyle w:val="NoSpacing"/>
              <w:rPr>
                <w:rFonts w:cs="Times New Roman"/>
              </w:rPr>
            </w:pPr>
          </w:p>
        </w:tc>
        <w:tc>
          <w:tcPr>
            <w:tcW w:w="0" w:type="auto"/>
            <w:tcBorders>
              <w:bottom w:val="single" w:sz="4" w:space="0" w:color="auto"/>
            </w:tcBorders>
            <w:shd w:val="clear" w:color="auto" w:fill="auto"/>
            <w:vAlign w:val="bottom"/>
          </w:tcPr>
          <w:p w:rsidR="00CD5B74" w:rsidRPr="00CD5B74" w:rsidRDefault="00CD5B74" w:rsidP="00CD5B74">
            <w:pPr>
              <w:pStyle w:val="NoSpacing"/>
              <w:jc w:val="center"/>
              <w:rPr>
                <w:rFonts w:cs="Times New Roman"/>
              </w:rPr>
            </w:pPr>
            <w:r w:rsidRPr="00CD5B74">
              <w:rPr>
                <w:rFonts w:cs="Times New Roman"/>
                <w:bCs/>
              </w:rPr>
              <w:t>2015</w:t>
            </w:r>
          </w:p>
        </w:tc>
        <w:tc>
          <w:tcPr>
            <w:tcW w:w="0" w:type="auto"/>
            <w:tcBorders>
              <w:bottom w:val="single" w:sz="4" w:space="0" w:color="auto"/>
            </w:tcBorders>
            <w:shd w:val="clear" w:color="auto" w:fill="auto"/>
            <w:vAlign w:val="bottom"/>
          </w:tcPr>
          <w:p w:rsidR="00CD5B74" w:rsidRPr="00CD5B74" w:rsidRDefault="00CD5B74" w:rsidP="00CD5B74">
            <w:pPr>
              <w:pStyle w:val="NoSpacing"/>
              <w:jc w:val="center"/>
              <w:rPr>
                <w:rFonts w:cs="Times New Roman"/>
              </w:rPr>
            </w:pPr>
            <w:r w:rsidRPr="00CD5B74">
              <w:rPr>
                <w:rFonts w:cs="Times New Roman"/>
                <w:bCs/>
              </w:rPr>
              <w:t>2016</w:t>
            </w:r>
          </w:p>
        </w:tc>
        <w:tc>
          <w:tcPr>
            <w:tcW w:w="0" w:type="auto"/>
            <w:tcBorders>
              <w:bottom w:val="single" w:sz="4" w:space="0" w:color="auto"/>
            </w:tcBorders>
            <w:shd w:val="clear" w:color="auto" w:fill="auto"/>
            <w:vAlign w:val="bottom"/>
          </w:tcPr>
          <w:p w:rsidR="00CD5B74" w:rsidRPr="00CD5B74" w:rsidRDefault="00CD5B74" w:rsidP="00CD5B74">
            <w:pPr>
              <w:pStyle w:val="NoSpacing"/>
              <w:jc w:val="center"/>
              <w:rPr>
                <w:rFonts w:cs="Times New Roman"/>
              </w:rPr>
            </w:pPr>
            <w:r w:rsidRPr="00CD5B74">
              <w:rPr>
                <w:rFonts w:cs="Times New Roman"/>
                <w:bCs/>
              </w:rPr>
              <w:t>2015</w:t>
            </w:r>
          </w:p>
        </w:tc>
        <w:tc>
          <w:tcPr>
            <w:tcW w:w="0" w:type="auto"/>
            <w:tcBorders>
              <w:bottom w:val="single" w:sz="4" w:space="0" w:color="auto"/>
            </w:tcBorders>
          </w:tcPr>
          <w:p w:rsidR="00CD5B74" w:rsidRPr="00CD5B74" w:rsidRDefault="00CD5B74" w:rsidP="00CD5B74">
            <w:pPr>
              <w:pStyle w:val="NoSpacing"/>
              <w:jc w:val="center"/>
              <w:rPr>
                <w:rFonts w:cs="Times New Roman"/>
              </w:rPr>
            </w:pPr>
            <w:r w:rsidRPr="00CD5B74">
              <w:rPr>
                <w:rFonts w:cs="Times New Roman"/>
              </w:rPr>
              <w:t>2016</w:t>
            </w:r>
          </w:p>
        </w:tc>
      </w:tr>
      <w:tr w:rsidR="00CD5B74" w:rsidRPr="00CD5B74" w:rsidTr="00CD5B74">
        <w:trPr>
          <w:jc w:val="center"/>
        </w:trPr>
        <w:tc>
          <w:tcPr>
            <w:tcW w:w="0" w:type="auto"/>
            <w:tcBorders>
              <w:top w:val="single" w:sz="4" w:space="0" w:color="auto"/>
            </w:tcBorders>
            <w:shd w:val="clear" w:color="auto" w:fill="auto"/>
          </w:tcPr>
          <w:p w:rsidR="00CD5B74" w:rsidRPr="00CD5B74" w:rsidRDefault="00CD5B74" w:rsidP="00CD5B74">
            <w:pPr>
              <w:pStyle w:val="NoSpacing"/>
              <w:rPr>
                <w:rFonts w:cs="Times New Roman"/>
                <w:i/>
              </w:rPr>
            </w:pPr>
            <w:r w:rsidRPr="00CD5B74">
              <w:rPr>
                <w:rFonts w:cs="Times New Roman"/>
              </w:rPr>
              <w:t>Local supermarket</w:t>
            </w:r>
          </w:p>
        </w:tc>
        <w:tc>
          <w:tcPr>
            <w:tcW w:w="0" w:type="auto"/>
            <w:tcBorders>
              <w:top w:val="single" w:sz="4" w:space="0" w:color="auto"/>
            </w:tcBorders>
            <w:shd w:val="clear" w:color="auto" w:fill="auto"/>
            <w:vAlign w:val="center"/>
          </w:tcPr>
          <w:p w:rsidR="00CD5B74" w:rsidRPr="00CD5B74" w:rsidRDefault="00CD5B74" w:rsidP="00CD5B74">
            <w:pPr>
              <w:pStyle w:val="NoSpacing"/>
              <w:jc w:val="right"/>
              <w:rPr>
                <w:rFonts w:cs="Times New Roman"/>
              </w:rPr>
            </w:pPr>
            <w:r w:rsidRPr="00CD5B74">
              <w:rPr>
                <w:rFonts w:cs="Times New Roman"/>
              </w:rPr>
              <w:t>192</w:t>
            </w:r>
          </w:p>
        </w:tc>
        <w:tc>
          <w:tcPr>
            <w:tcW w:w="0" w:type="auto"/>
            <w:tcBorders>
              <w:top w:val="single" w:sz="4" w:space="0" w:color="auto"/>
            </w:tcBorders>
            <w:shd w:val="clear" w:color="auto" w:fill="auto"/>
            <w:vAlign w:val="center"/>
          </w:tcPr>
          <w:p w:rsidR="00CD5B74" w:rsidRPr="00CD5B74" w:rsidRDefault="00CD5B74" w:rsidP="00CD5B74">
            <w:pPr>
              <w:pStyle w:val="NoSpacing"/>
              <w:jc w:val="right"/>
              <w:rPr>
                <w:rFonts w:cs="Times New Roman"/>
              </w:rPr>
            </w:pPr>
            <w:r w:rsidRPr="00CD5B74">
              <w:rPr>
                <w:rFonts w:cs="Times New Roman"/>
              </w:rPr>
              <w:t>279</w:t>
            </w:r>
          </w:p>
        </w:tc>
        <w:tc>
          <w:tcPr>
            <w:tcW w:w="0" w:type="auto"/>
            <w:tcBorders>
              <w:top w:val="single" w:sz="4" w:space="0" w:color="auto"/>
            </w:tcBorders>
            <w:shd w:val="clear" w:color="auto" w:fill="auto"/>
            <w:vAlign w:val="center"/>
          </w:tcPr>
          <w:p w:rsidR="00CD5B74" w:rsidRPr="00CD5B74" w:rsidRDefault="00CD5B74" w:rsidP="00CD5B74">
            <w:pPr>
              <w:pStyle w:val="NoSpacing"/>
              <w:jc w:val="right"/>
              <w:rPr>
                <w:rFonts w:cs="Times New Roman"/>
              </w:rPr>
            </w:pPr>
            <w:r w:rsidRPr="00CD5B74">
              <w:rPr>
                <w:rFonts w:cs="Times New Roman"/>
              </w:rPr>
              <w:t>203</w:t>
            </w:r>
          </w:p>
        </w:tc>
        <w:tc>
          <w:tcPr>
            <w:tcW w:w="0" w:type="auto"/>
            <w:tcBorders>
              <w:top w:val="single" w:sz="4" w:space="0" w:color="auto"/>
            </w:tcBorders>
            <w:shd w:val="clear" w:color="auto" w:fill="auto"/>
            <w:vAlign w:val="center"/>
          </w:tcPr>
          <w:p w:rsidR="00CD5B74" w:rsidRPr="00CD5B74" w:rsidRDefault="00CD5B74" w:rsidP="00CD5B74">
            <w:pPr>
              <w:pStyle w:val="NoSpacing"/>
              <w:jc w:val="right"/>
              <w:rPr>
                <w:rFonts w:cs="Times New Roman"/>
              </w:rPr>
            </w:pPr>
            <w:r w:rsidRPr="00CD5B74">
              <w:rPr>
                <w:rFonts w:cs="Times New Roman"/>
              </w:rPr>
              <w:t>236</w:t>
            </w:r>
          </w:p>
        </w:tc>
      </w:tr>
      <w:tr w:rsidR="00CD5B74" w:rsidRPr="00CD5B74" w:rsidTr="00CD5B74">
        <w:trPr>
          <w:jc w:val="center"/>
        </w:trPr>
        <w:tc>
          <w:tcPr>
            <w:tcW w:w="0" w:type="auto"/>
            <w:shd w:val="clear" w:color="auto" w:fill="auto"/>
          </w:tcPr>
          <w:p w:rsidR="00CD5B74" w:rsidRPr="00CD5B74" w:rsidRDefault="00CD5B74" w:rsidP="00CD5B74">
            <w:pPr>
              <w:pStyle w:val="NoSpacing"/>
              <w:rPr>
                <w:rFonts w:cs="Times New Roman"/>
                <w:i/>
              </w:rPr>
            </w:pPr>
            <w:r w:rsidRPr="00CD5B74">
              <w:rPr>
                <w:rFonts w:cs="Times New Roman"/>
              </w:rPr>
              <w:t>Megastore 1</w:t>
            </w:r>
          </w:p>
        </w:tc>
        <w:tc>
          <w:tcPr>
            <w:tcW w:w="0" w:type="auto"/>
            <w:shd w:val="clear" w:color="auto" w:fill="auto"/>
            <w:vAlign w:val="center"/>
          </w:tcPr>
          <w:p w:rsidR="00CD5B74" w:rsidRPr="00CD5B74" w:rsidRDefault="00CD5B74" w:rsidP="00CD5B74">
            <w:pPr>
              <w:pStyle w:val="NoSpacing"/>
              <w:jc w:val="right"/>
              <w:rPr>
                <w:rFonts w:cs="Times New Roman"/>
              </w:rPr>
            </w:pPr>
            <w:r w:rsidRPr="00CD5B74">
              <w:rPr>
                <w:rFonts w:cs="Times New Roman"/>
              </w:rPr>
              <w:t>209</w:t>
            </w:r>
          </w:p>
        </w:tc>
        <w:tc>
          <w:tcPr>
            <w:tcW w:w="0" w:type="auto"/>
            <w:shd w:val="clear" w:color="auto" w:fill="auto"/>
            <w:vAlign w:val="center"/>
          </w:tcPr>
          <w:p w:rsidR="00CD5B74" w:rsidRPr="00CD5B74" w:rsidRDefault="00CD5B74" w:rsidP="00CD5B74">
            <w:pPr>
              <w:pStyle w:val="NoSpacing"/>
              <w:jc w:val="right"/>
              <w:rPr>
                <w:rFonts w:cs="Times New Roman"/>
              </w:rPr>
            </w:pPr>
            <w:r w:rsidRPr="00CD5B74">
              <w:rPr>
                <w:rFonts w:cs="Times New Roman"/>
              </w:rPr>
              <w:t>357</w:t>
            </w:r>
          </w:p>
        </w:tc>
        <w:tc>
          <w:tcPr>
            <w:tcW w:w="0" w:type="auto"/>
            <w:shd w:val="clear" w:color="auto" w:fill="auto"/>
            <w:vAlign w:val="center"/>
          </w:tcPr>
          <w:p w:rsidR="00CD5B74" w:rsidRPr="00CD5B74" w:rsidRDefault="00CD5B74" w:rsidP="00CD5B74">
            <w:pPr>
              <w:pStyle w:val="NoSpacing"/>
              <w:jc w:val="right"/>
              <w:rPr>
                <w:rFonts w:cs="Times New Roman"/>
              </w:rPr>
            </w:pPr>
            <w:r w:rsidRPr="00CD5B74">
              <w:rPr>
                <w:rFonts w:cs="Times New Roman"/>
              </w:rPr>
              <w:t>200</w:t>
            </w:r>
          </w:p>
        </w:tc>
        <w:tc>
          <w:tcPr>
            <w:tcW w:w="0" w:type="auto"/>
            <w:shd w:val="clear" w:color="auto" w:fill="auto"/>
            <w:vAlign w:val="center"/>
          </w:tcPr>
          <w:p w:rsidR="00CD5B74" w:rsidRPr="00CD5B74" w:rsidRDefault="00CD5B74" w:rsidP="00CD5B74">
            <w:pPr>
              <w:pStyle w:val="NoSpacing"/>
              <w:jc w:val="right"/>
              <w:rPr>
                <w:rFonts w:cs="Times New Roman"/>
              </w:rPr>
            </w:pPr>
            <w:r w:rsidRPr="00CD5B74">
              <w:rPr>
                <w:rFonts w:cs="Times New Roman"/>
              </w:rPr>
              <w:t>239</w:t>
            </w:r>
          </w:p>
        </w:tc>
      </w:tr>
      <w:tr w:rsidR="00CD5B74" w:rsidRPr="00CD5B74" w:rsidTr="00CD5B74">
        <w:trPr>
          <w:jc w:val="center"/>
        </w:trPr>
        <w:tc>
          <w:tcPr>
            <w:tcW w:w="0" w:type="auto"/>
            <w:shd w:val="clear" w:color="auto" w:fill="auto"/>
          </w:tcPr>
          <w:p w:rsidR="00CD5B74" w:rsidRPr="00CD5B74" w:rsidRDefault="00CD5B74" w:rsidP="00CD5B74">
            <w:pPr>
              <w:pStyle w:val="NoSpacing"/>
              <w:rPr>
                <w:rFonts w:cs="Times New Roman"/>
                <w:i/>
              </w:rPr>
            </w:pPr>
            <w:r w:rsidRPr="00CD5B74">
              <w:rPr>
                <w:rFonts w:cs="Times New Roman"/>
              </w:rPr>
              <w:t>Megastore 2</w:t>
            </w:r>
          </w:p>
        </w:tc>
        <w:tc>
          <w:tcPr>
            <w:tcW w:w="0" w:type="auto"/>
            <w:shd w:val="clear" w:color="auto" w:fill="auto"/>
            <w:vAlign w:val="center"/>
          </w:tcPr>
          <w:p w:rsidR="00CD5B74" w:rsidRPr="00CD5B74" w:rsidRDefault="00CD5B74" w:rsidP="00CD5B74">
            <w:pPr>
              <w:pStyle w:val="NoSpacing"/>
              <w:jc w:val="right"/>
              <w:rPr>
                <w:rFonts w:cs="Times New Roman"/>
              </w:rPr>
            </w:pPr>
            <w:r w:rsidRPr="00CD5B74">
              <w:rPr>
                <w:rFonts w:cs="Times New Roman"/>
              </w:rPr>
              <w:t>210</w:t>
            </w:r>
          </w:p>
        </w:tc>
        <w:tc>
          <w:tcPr>
            <w:tcW w:w="0" w:type="auto"/>
            <w:shd w:val="clear" w:color="auto" w:fill="auto"/>
            <w:vAlign w:val="center"/>
          </w:tcPr>
          <w:p w:rsidR="00CD5B74" w:rsidRPr="00CD5B74" w:rsidRDefault="00CD5B74" w:rsidP="00CD5B74">
            <w:pPr>
              <w:pStyle w:val="NoSpacing"/>
              <w:jc w:val="right"/>
              <w:rPr>
                <w:rFonts w:cs="Times New Roman"/>
              </w:rPr>
            </w:pPr>
            <w:r w:rsidRPr="00CD5B74">
              <w:rPr>
                <w:rFonts w:cs="Times New Roman"/>
              </w:rPr>
              <w:t>270</w:t>
            </w:r>
          </w:p>
        </w:tc>
        <w:tc>
          <w:tcPr>
            <w:tcW w:w="0" w:type="auto"/>
            <w:shd w:val="clear" w:color="auto" w:fill="auto"/>
            <w:vAlign w:val="center"/>
          </w:tcPr>
          <w:p w:rsidR="00CD5B74" w:rsidRPr="00CD5B74" w:rsidRDefault="00CD5B74" w:rsidP="00CD5B74">
            <w:pPr>
              <w:pStyle w:val="NoSpacing"/>
              <w:jc w:val="right"/>
              <w:rPr>
                <w:rFonts w:cs="Times New Roman"/>
              </w:rPr>
            </w:pPr>
            <w:r w:rsidRPr="00CD5B74">
              <w:rPr>
                <w:rFonts w:cs="Times New Roman"/>
              </w:rPr>
              <w:t>208</w:t>
            </w:r>
          </w:p>
        </w:tc>
        <w:tc>
          <w:tcPr>
            <w:tcW w:w="0" w:type="auto"/>
            <w:shd w:val="clear" w:color="auto" w:fill="auto"/>
            <w:vAlign w:val="center"/>
          </w:tcPr>
          <w:p w:rsidR="00CD5B74" w:rsidRPr="00CD5B74" w:rsidRDefault="00CD5B74" w:rsidP="00CD5B74">
            <w:pPr>
              <w:pStyle w:val="NoSpacing"/>
              <w:jc w:val="right"/>
              <w:rPr>
                <w:rFonts w:cs="Times New Roman"/>
              </w:rPr>
            </w:pPr>
            <w:r w:rsidRPr="00CD5B74">
              <w:rPr>
                <w:rFonts w:cs="Times New Roman"/>
              </w:rPr>
              <w:t>260</w:t>
            </w:r>
          </w:p>
        </w:tc>
      </w:tr>
      <w:tr w:rsidR="00CD5B74" w:rsidRPr="00CD5B74" w:rsidTr="00CD5B74">
        <w:trPr>
          <w:trHeight w:val="87"/>
          <w:jc w:val="center"/>
        </w:trPr>
        <w:tc>
          <w:tcPr>
            <w:tcW w:w="0" w:type="auto"/>
            <w:shd w:val="clear" w:color="auto" w:fill="auto"/>
          </w:tcPr>
          <w:p w:rsidR="00CD5B74" w:rsidRPr="00CD5B74" w:rsidRDefault="00CD5B74" w:rsidP="00CD5B74">
            <w:pPr>
              <w:pStyle w:val="NoSpacing"/>
              <w:rPr>
                <w:rFonts w:cs="Times New Roman"/>
                <w:i/>
              </w:rPr>
            </w:pPr>
            <w:r w:rsidRPr="00CD5B74">
              <w:rPr>
                <w:rFonts w:cs="Times New Roman"/>
              </w:rPr>
              <w:t>Premium supermarket</w:t>
            </w:r>
          </w:p>
        </w:tc>
        <w:tc>
          <w:tcPr>
            <w:tcW w:w="0" w:type="auto"/>
            <w:tcBorders>
              <w:bottom w:val="single" w:sz="4" w:space="0" w:color="auto"/>
            </w:tcBorders>
            <w:shd w:val="clear" w:color="auto" w:fill="auto"/>
            <w:vAlign w:val="center"/>
          </w:tcPr>
          <w:p w:rsidR="00CD5B74" w:rsidRPr="00CD5B74" w:rsidRDefault="00CD5B74" w:rsidP="00CD5B74">
            <w:pPr>
              <w:pStyle w:val="NoSpacing"/>
              <w:jc w:val="right"/>
              <w:rPr>
                <w:rFonts w:cs="Times New Roman"/>
              </w:rPr>
            </w:pPr>
            <w:r w:rsidRPr="00CD5B74">
              <w:rPr>
                <w:rFonts w:cs="Times New Roman"/>
              </w:rPr>
              <w:t>207</w:t>
            </w:r>
          </w:p>
        </w:tc>
        <w:tc>
          <w:tcPr>
            <w:tcW w:w="0" w:type="auto"/>
            <w:tcBorders>
              <w:bottom w:val="single" w:sz="4" w:space="0" w:color="auto"/>
            </w:tcBorders>
            <w:shd w:val="clear" w:color="auto" w:fill="auto"/>
            <w:vAlign w:val="center"/>
          </w:tcPr>
          <w:p w:rsidR="00CD5B74" w:rsidRPr="00CD5B74" w:rsidRDefault="00CD5B74" w:rsidP="00CD5B74">
            <w:pPr>
              <w:pStyle w:val="NoSpacing"/>
              <w:jc w:val="right"/>
              <w:rPr>
                <w:rFonts w:cs="Times New Roman"/>
              </w:rPr>
            </w:pPr>
            <w:r w:rsidRPr="00CD5B74">
              <w:rPr>
                <w:rFonts w:cs="Times New Roman"/>
              </w:rPr>
              <w:t>237</w:t>
            </w:r>
          </w:p>
        </w:tc>
        <w:tc>
          <w:tcPr>
            <w:tcW w:w="0" w:type="auto"/>
            <w:tcBorders>
              <w:bottom w:val="single" w:sz="4" w:space="0" w:color="auto"/>
            </w:tcBorders>
            <w:shd w:val="clear" w:color="auto" w:fill="auto"/>
            <w:vAlign w:val="center"/>
          </w:tcPr>
          <w:p w:rsidR="00CD5B74" w:rsidRPr="00CD5B74" w:rsidRDefault="00CD5B74" w:rsidP="00CD5B74">
            <w:pPr>
              <w:pStyle w:val="NoSpacing"/>
              <w:jc w:val="right"/>
              <w:rPr>
                <w:rFonts w:cs="Times New Roman"/>
              </w:rPr>
            </w:pPr>
            <w:r w:rsidRPr="00CD5B74">
              <w:rPr>
                <w:rFonts w:cs="Times New Roman"/>
              </w:rPr>
              <w:t>208</w:t>
            </w:r>
          </w:p>
        </w:tc>
        <w:tc>
          <w:tcPr>
            <w:tcW w:w="0" w:type="auto"/>
            <w:tcBorders>
              <w:bottom w:val="single" w:sz="4" w:space="0" w:color="auto"/>
            </w:tcBorders>
            <w:shd w:val="clear" w:color="auto" w:fill="auto"/>
            <w:vAlign w:val="center"/>
          </w:tcPr>
          <w:p w:rsidR="00CD5B74" w:rsidRPr="00CD5B74" w:rsidRDefault="00CD5B74" w:rsidP="00CD5B74">
            <w:pPr>
              <w:pStyle w:val="NoSpacing"/>
              <w:jc w:val="right"/>
              <w:rPr>
                <w:rFonts w:cs="Times New Roman"/>
              </w:rPr>
            </w:pPr>
            <w:r w:rsidRPr="00CD5B74">
              <w:rPr>
                <w:rFonts w:cs="Times New Roman"/>
              </w:rPr>
              <w:t>249</w:t>
            </w:r>
          </w:p>
        </w:tc>
      </w:tr>
      <w:tr w:rsidR="00CD5B74" w:rsidRPr="00CD5B74" w:rsidTr="00CD5B74">
        <w:trPr>
          <w:jc w:val="center"/>
        </w:trPr>
        <w:tc>
          <w:tcPr>
            <w:tcW w:w="0" w:type="auto"/>
            <w:tcBorders>
              <w:bottom w:val="single" w:sz="4" w:space="0" w:color="auto"/>
            </w:tcBorders>
            <w:shd w:val="clear" w:color="auto" w:fill="auto"/>
            <w:vAlign w:val="center"/>
          </w:tcPr>
          <w:p w:rsidR="00CD5B74" w:rsidRPr="00CD5B74" w:rsidRDefault="00CD5B74" w:rsidP="00CD5B74">
            <w:pPr>
              <w:pStyle w:val="NoSpacing"/>
              <w:rPr>
                <w:rFonts w:cs="Times New Roman"/>
              </w:rPr>
            </w:pPr>
            <w:r w:rsidRPr="00CD5B74">
              <w:rPr>
                <w:rFonts w:cs="Times New Roman"/>
              </w:rPr>
              <w:t>Total</w:t>
            </w:r>
          </w:p>
        </w:tc>
        <w:tc>
          <w:tcPr>
            <w:tcW w:w="0" w:type="auto"/>
            <w:tcBorders>
              <w:top w:val="single" w:sz="4" w:space="0" w:color="auto"/>
              <w:bottom w:val="single" w:sz="4" w:space="0" w:color="auto"/>
            </w:tcBorders>
            <w:shd w:val="clear" w:color="auto" w:fill="auto"/>
            <w:vAlign w:val="center"/>
          </w:tcPr>
          <w:p w:rsidR="00CD5B74" w:rsidRPr="00CD5B74" w:rsidRDefault="00CD5B74" w:rsidP="00CD5B74">
            <w:pPr>
              <w:pStyle w:val="NoSpacing"/>
              <w:jc w:val="right"/>
              <w:rPr>
                <w:rFonts w:cs="Times New Roman"/>
              </w:rPr>
            </w:pPr>
            <w:r w:rsidRPr="00CD5B74">
              <w:rPr>
                <w:rFonts w:cs="Times New Roman"/>
              </w:rPr>
              <w:t>818</w:t>
            </w:r>
          </w:p>
        </w:tc>
        <w:tc>
          <w:tcPr>
            <w:tcW w:w="0" w:type="auto"/>
            <w:tcBorders>
              <w:top w:val="single" w:sz="4" w:space="0" w:color="auto"/>
              <w:bottom w:val="single" w:sz="4" w:space="0" w:color="auto"/>
            </w:tcBorders>
            <w:shd w:val="clear" w:color="auto" w:fill="auto"/>
            <w:vAlign w:val="center"/>
          </w:tcPr>
          <w:p w:rsidR="00CD5B74" w:rsidRPr="00CD5B74" w:rsidRDefault="00CD5B74" w:rsidP="00CD5B74">
            <w:pPr>
              <w:pStyle w:val="NoSpacing"/>
              <w:jc w:val="right"/>
              <w:rPr>
                <w:rFonts w:cs="Times New Roman"/>
              </w:rPr>
            </w:pPr>
            <w:r w:rsidRPr="00CD5B74">
              <w:rPr>
                <w:rFonts w:cs="Times New Roman"/>
              </w:rPr>
              <w:t>1,143</w:t>
            </w:r>
          </w:p>
        </w:tc>
        <w:tc>
          <w:tcPr>
            <w:tcW w:w="0" w:type="auto"/>
            <w:tcBorders>
              <w:top w:val="single" w:sz="4" w:space="0" w:color="auto"/>
              <w:bottom w:val="single" w:sz="4" w:space="0" w:color="auto"/>
            </w:tcBorders>
            <w:shd w:val="clear" w:color="auto" w:fill="auto"/>
            <w:vAlign w:val="center"/>
          </w:tcPr>
          <w:p w:rsidR="00CD5B74" w:rsidRPr="00CD5B74" w:rsidRDefault="00CD5B74" w:rsidP="00CD5B74">
            <w:pPr>
              <w:pStyle w:val="NoSpacing"/>
              <w:jc w:val="right"/>
              <w:rPr>
                <w:rFonts w:cs="Times New Roman"/>
              </w:rPr>
            </w:pPr>
            <w:r w:rsidRPr="00CD5B74">
              <w:rPr>
                <w:rFonts w:cs="Times New Roman"/>
              </w:rPr>
              <w:t>819</w:t>
            </w:r>
          </w:p>
        </w:tc>
        <w:tc>
          <w:tcPr>
            <w:tcW w:w="0" w:type="auto"/>
            <w:tcBorders>
              <w:top w:val="single" w:sz="4" w:space="0" w:color="auto"/>
              <w:bottom w:val="single" w:sz="4" w:space="0" w:color="auto"/>
            </w:tcBorders>
            <w:shd w:val="clear" w:color="auto" w:fill="auto"/>
            <w:vAlign w:val="center"/>
          </w:tcPr>
          <w:p w:rsidR="00CD5B74" w:rsidRPr="00CD5B74" w:rsidRDefault="00CD5B74" w:rsidP="00CD5B74">
            <w:pPr>
              <w:pStyle w:val="NoSpacing"/>
              <w:jc w:val="right"/>
              <w:rPr>
                <w:rFonts w:cs="Times New Roman"/>
              </w:rPr>
            </w:pPr>
            <w:r w:rsidRPr="00CD5B74">
              <w:rPr>
                <w:rFonts w:cs="Times New Roman"/>
              </w:rPr>
              <w:t>984</w:t>
            </w:r>
          </w:p>
        </w:tc>
      </w:tr>
    </w:tbl>
    <w:p w:rsidR="00CD5B74" w:rsidRPr="00CD5B74" w:rsidRDefault="00CD5B74" w:rsidP="00CD5B74">
      <w:pPr>
        <w:rPr>
          <w:rFonts w:cs="Times New Roman"/>
        </w:rPr>
      </w:pPr>
    </w:p>
    <w:p w:rsidR="001E18D8" w:rsidRDefault="00CD5B74" w:rsidP="00CD5B74">
      <w:pPr>
        <w:rPr>
          <w:rFonts w:cs="Times New Roman"/>
        </w:rPr>
      </w:pPr>
      <w:r w:rsidRPr="00CD5B74">
        <w:rPr>
          <w:rFonts w:cs="Times New Roman"/>
        </w:rPr>
        <w:t xml:space="preserve">The observational researchers would identify shoppers leaving the supermarkets, and independently record the person’s approximate age, gender, and record the number and type of bags used. </w:t>
      </w:r>
    </w:p>
    <w:p w:rsidR="001E18D8" w:rsidRDefault="001E18D8" w:rsidP="00CD5B74">
      <w:pPr>
        <w:rPr>
          <w:rFonts w:cs="Times New Roman"/>
        </w:rPr>
      </w:pPr>
      <w:r>
        <w:rPr>
          <w:rFonts w:cs="Times New Roman"/>
        </w:rPr>
        <w:t>Observation of bag use fell into different categories:</w:t>
      </w:r>
    </w:p>
    <w:p w:rsidR="001E18D8" w:rsidRDefault="001E18D8" w:rsidP="001E18D8">
      <w:pPr>
        <w:pStyle w:val="ListParagraph"/>
        <w:numPr>
          <w:ilvl w:val="0"/>
          <w:numId w:val="3"/>
        </w:numPr>
        <w:rPr>
          <w:rFonts w:cs="Times New Roman"/>
        </w:rPr>
      </w:pPr>
      <w:r w:rsidRPr="001E18D8">
        <w:rPr>
          <w:rFonts w:cs="Times New Roman"/>
          <w:b/>
        </w:rPr>
        <w:t>Single-use plastic bags (SUPBS)</w:t>
      </w:r>
      <w:r>
        <w:rPr>
          <w:rFonts w:cs="Times New Roman"/>
        </w:rPr>
        <w:t xml:space="preserve"> which are thin plastic bags distributed by stores, typically designed to be used only once, and prior to the English and Welsh bag charges, were available for free to all shoppers.</w:t>
      </w:r>
    </w:p>
    <w:p w:rsidR="001E18D8" w:rsidRDefault="001E18D8" w:rsidP="001E18D8">
      <w:pPr>
        <w:pStyle w:val="ListParagraph"/>
        <w:numPr>
          <w:ilvl w:val="0"/>
          <w:numId w:val="3"/>
        </w:numPr>
        <w:rPr>
          <w:rFonts w:cs="Times New Roman"/>
        </w:rPr>
      </w:pPr>
      <w:r w:rsidRPr="001E18D8">
        <w:rPr>
          <w:rFonts w:cs="Times New Roman"/>
          <w:b/>
        </w:rPr>
        <w:lastRenderedPageBreak/>
        <w:t>“Bags for Life” (B4L)</w:t>
      </w:r>
      <w:r>
        <w:rPr>
          <w:rFonts w:cs="Times New Roman"/>
        </w:rPr>
        <w:t xml:space="preserve"> which are thicker plastic bags offered by stores to customers for a small fee, designed to be re-used several times, and often include deals </w:t>
      </w:r>
      <w:r w:rsidR="00574B6F">
        <w:rPr>
          <w:rFonts w:cs="Times New Roman"/>
        </w:rPr>
        <w:t>by the store where</w:t>
      </w:r>
      <w:r>
        <w:rPr>
          <w:rFonts w:cs="Times New Roman"/>
        </w:rPr>
        <w:t xml:space="preserve"> damaged B4L can be returned and exchanged for free.</w:t>
      </w:r>
    </w:p>
    <w:p w:rsidR="001E18D8" w:rsidRDefault="001E18D8" w:rsidP="001E18D8">
      <w:pPr>
        <w:pStyle w:val="ListParagraph"/>
        <w:numPr>
          <w:ilvl w:val="0"/>
          <w:numId w:val="3"/>
        </w:numPr>
        <w:rPr>
          <w:rFonts w:cs="Times New Roman"/>
        </w:rPr>
      </w:pPr>
      <w:r w:rsidRPr="001E18D8">
        <w:rPr>
          <w:rFonts w:cs="Times New Roman"/>
          <w:b/>
        </w:rPr>
        <w:t>Canvas/Woven/Tote</w:t>
      </w:r>
      <w:r>
        <w:rPr>
          <w:rFonts w:cs="Times New Roman"/>
        </w:rPr>
        <w:t xml:space="preserve"> bags, which are again made of thicker materials that are woven together to make a stronger shopping bag, typically made from plastic/hemp/fabric. These bags are more expensive than B4L, and designed to last for even longer periods of time.</w:t>
      </w:r>
    </w:p>
    <w:p w:rsidR="001E18D8" w:rsidRPr="001E18D8" w:rsidRDefault="001E18D8" w:rsidP="001E18D8">
      <w:pPr>
        <w:pStyle w:val="ListParagraph"/>
        <w:numPr>
          <w:ilvl w:val="0"/>
          <w:numId w:val="3"/>
        </w:numPr>
        <w:rPr>
          <w:rFonts w:cs="Times New Roman"/>
          <w:b/>
        </w:rPr>
      </w:pPr>
      <w:r w:rsidRPr="001E18D8">
        <w:rPr>
          <w:rFonts w:cs="Times New Roman"/>
          <w:b/>
        </w:rPr>
        <w:t>Non-conventional shopping bags</w:t>
      </w:r>
      <w:r>
        <w:rPr>
          <w:rFonts w:cs="Times New Roman"/>
          <w:b/>
        </w:rPr>
        <w:t xml:space="preserve"> </w:t>
      </w:r>
      <w:r>
        <w:rPr>
          <w:rFonts w:cs="Times New Roman"/>
        </w:rPr>
        <w:t xml:space="preserve">which are </w:t>
      </w:r>
      <w:r w:rsidR="001E3DF0">
        <w:rPr>
          <w:rFonts w:cs="Times New Roman"/>
        </w:rPr>
        <w:t>bags designed for other purposes than carrying shopping, or atypical bags for the shopping experience. These include the use of Rucksacks or Backpacks, the use of handbags for carrying shopping, or the use of alternative carriers for shopping, including cardboard boxes or personal trolleys.</w:t>
      </w:r>
    </w:p>
    <w:p w:rsidR="00EE2767" w:rsidRPr="00CD5B74" w:rsidRDefault="00CD5B74" w:rsidP="00CD5B74">
      <w:pPr>
        <w:rPr>
          <w:rFonts w:cs="Times New Roman"/>
        </w:rPr>
      </w:pPr>
      <w:r w:rsidRPr="00CD5B74">
        <w:rPr>
          <w:rFonts w:cs="Times New Roman"/>
        </w:rPr>
        <w:t>Observations were conducted on public space outside of the supermarkets. After recording the details, the researchers would compare observations and resolve any disagreement in recording.</w:t>
      </w:r>
    </w:p>
    <w:p w:rsidR="00EE2767" w:rsidRPr="00CD5B74" w:rsidRDefault="00EE2767" w:rsidP="00EE2767">
      <w:pPr>
        <w:pStyle w:val="Heading1"/>
        <w:rPr>
          <w:rFonts w:cs="Times New Roman"/>
        </w:rPr>
      </w:pPr>
      <w:r w:rsidRPr="00CD5B74">
        <w:rPr>
          <w:rFonts w:cs="Times New Roman"/>
        </w:rPr>
        <w:t>Notes</w:t>
      </w:r>
    </w:p>
    <w:p w:rsidR="00C57522" w:rsidRPr="00CD5B74" w:rsidRDefault="00C57522" w:rsidP="00DC1E0E">
      <w:pPr>
        <w:pStyle w:val="Heading2"/>
      </w:pPr>
      <w:r w:rsidRPr="00DC1E0E">
        <w:t>Items</w:t>
      </w:r>
      <w:r w:rsidRPr="00CD5B74">
        <w:t xml:space="preserve"> in hands/loose &amp; Non-bag use</w:t>
      </w:r>
    </w:p>
    <w:p w:rsidR="00C57522" w:rsidRDefault="00C57522" w:rsidP="0019094D">
      <w:r w:rsidRPr="00CD5B74">
        <w:t xml:space="preserve">Originally we planned for observers to record whether people were carrying their shopping </w:t>
      </w:r>
      <w:r w:rsidR="00E041E2">
        <w:t xml:space="preserve">loose </w:t>
      </w:r>
      <w:r w:rsidRPr="00CD5B74">
        <w:t xml:space="preserve">in hands/trolleys without using </w:t>
      </w:r>
      <w:r w:rsidR="00E041E2">
        <w:t xml:space="preserve">any shopping </w:t>
      </w:r>
      <w:r w:rsidRPr="00CD5B74">
        <w:t xml:space="preserve">bags at all. </w:t>
      </w:r>
      <w:r w:rsidR="00E041E2">
        <w:t>The intention was to establish whether people were avoiding the use of plastic bags or other purchased bags for life in order to avoid the bag charge. However in practice, observing loose items or items carried in hands was extremely difficult for the field researchers. The researchers often found that they could not see whether items were carried in hands, in pockets, or carried elsewhere. Due to the difficulty of observing items carried loose, this variable was not included for analysis.</w:t>
      </w:r>
    </w:p>
    <w:p w:rsidR="00C57522" w:rsidRPr="00CD5B74" w:rsidRDefault="00BE0F29" w:rsidP="00BE0F29">
      <w:pPr>
        <w:pStyle w:val="Heading2"/>
        <w:rPr>
          <w:rFonts w:cs="Times New Roman"/>
        </w:rPr>
      </w:pPr>
      <w:r w:rsidRPr="00CD5B74">
        <w:rPr>
          <w:rFonts w:cs="Times New Roman"/>
        </w:rPr>
        <w:t>Gender</w:t>
      </w:r>
    </w:p>
    <w:p w:rsidR="00BE0F29" w:rsidRPr="00CD5B74" w:rsidRDefault="00DC1E0E" w:rsidP="00DC1E0E">
      <w:pPr>
        <w:rPr>
          <w:rFonts w:cs="Times New Roman"/>
        </w:rPr>
      </w:pPr>
      <w:r>
        <w:rPr>
          <w:rFonts w:cs="Times New Roman"/>
        </w:rPr>
        <w:t>As p</w:t>
      </w:r>
      <w:r w:rsidR="00BE0F29" w:rsidRPr="00CD5B74">
        <w:rPr>
          <w:rFonts w:cs="Times New Roman"/>
        </w:rPr>
        <w:t xml:space="preserve">eople do not always shop alone, </w:t>
      </w:r>
      <w:r>
        <w:rPr>
          <w:rFonts w:cs="Times New Roman"/>
        </w:rPr>
        <w:t>recording the</w:t>
      </w:r>
      <w:r w:rsidR="00BE0F29" w:rsidRPr="00CD5B74">
        <w:rPr>
          <w:rFonts w:cs="Times New Roman"/>
        </w:rPr>
        <w:t xml:space="preserve"> classification of gender </w:t>
      </w:r>
      <w:r>
        <w:rPr>
          <w:rFonts w:cs="Times New Roman"/>
        </w:rPr>
        <w:t>may be difficult when two or more people are observed. To accommodate this, gender classification of observations should only be used when analysing individual shoppers. Approximately 81</w:t>
      </w:r>
      <w:r w:rsidRPr="00CD5B74">
        <w:rPr>
          <w:rFonts w:cs="Times New Roman"/>
        </w:rPr>
        <w:t xml:space="preserve"> </w:t>
      </w:r>
      <w:r w:rsidR="004F100A" w:rsidRPr="00CD5B74">
        <w:rPr>
          <w:rFonts w:cs="Times New Roman"/>
        </w:rPr>
        <w:t xml:space="preserve">% </w:t>
      </w:r>
      <w:r>
        <w:rPr>
          <w:rFonts w:cs="Times New Roman"/>
        </w:rPr>
        <w:t xml:space="preserve">of all observations (n = 3,060) were people shopping alone however, </w:t>
      </w:r>
      <w:r w:rsidR="004F100A" w:rsidRPr="00CD5B74">
        <w:rPr>
          <w:rFonts w:cs="Times New Roman"/>
        </w:rPr>
        <w:t>which is a respectable size to offer for most comparisons.</w:t>
      </w:r>
    </w:p>
    <w:sectPr w:rsidR="00BE0F29" w:rsidRPr="00CD5B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A54C41"/>
    <w:multiLevelType w:val="hybridMultilevel"/>
    <w:tmpl w:val="18BE83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5B61FAB"/>
    <w:multiLevelType w:val="hybridMultilevel"/>
    <w:tmpl w:val="377C0A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E25280E"/>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6AD"/>
    <w:rsid w:val="00034E80"/>
    <w:rsid w:val="00095905"/>
    <w:rsid w:val="0019094D"/>
    <w:rsid w:val="001E18D8"/>
    <w:rsid w:val="001E3DF0"/>
    <w:rsid w:val="004F100A"/>
    <w:rsid w:val="00574B6F"/>
    <w:rsid w:val="005B3330"/>
    <w:rsid w:val="0098006C"/>
    <w:rsid w:val="00B517F9"/>
    <w:rsid w:val="00BE0F29"/>
    <w:rsid w:val="00C5068E"/>
    <w:rsid w:val="00C57522"/>
    <w:rsid w:val="00CD5B74"/>
    <w:rsid w:val="00D05847"/>
    <w:rsid w:val="00DC1E0E"/>
    <w:rsid w:val="00E006AD"/>
    <w:rsid w:val="00E041E2"/>
    <w:rsid w:val="00EE2767"/>
    <w:rsid w:val="00F22C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35C450-A516-442E-BD9C-2D6AE1053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094D"/>
    <w:pPr>
      <w:jc w:val="both"/>
    </w:pPr>
    <w:rPr>
      <w:rFonts w:ascii="Times New Roman" w:hAnsi="Times New Roman"/>
    </w:rPr>
  </w:style>
  <w:style w:type="paragraph" w:styleId="Heading1">
    <w:name w:val="heading 1"/>
    <w:basedOn w:val="Normal"/>
    <w:next w:val="Normal"/>
    <w:link w:val="Heading1Char"/>
    <w:uiPriority w:val="9"/>
    <w:qFormat/>
    <w:rsid w:val="0019094D"/>
    <w:pPr>
      <w:keepNext/>
      <w:keepLines/>
      <w:numPr>
        <w:numId w:val="1"/>
      </w:numPr>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19094D"/>
    <w:pPr>
      <w:keepNext/>
      <w:keepLines/>
      <w:numPr>
        <w:ilvl w:val="1"/>
        <w:numId w:val="1"/>
      </w:numPr>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semiHidden/>
    <w:unhideWhenUsed/>
    <w:qFormat/>
    <w:rsid w:val="00EE2767"/>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E2767"/>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E2767"/>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E2767"/>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E2767"/>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E276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E276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9094D"/>
    <w:rPr>
      <w:rFonts w:ascii="Times New Roman" w:eastAsiaTheme="majorEastAsia" w:hAnsi="Times New Roman" w:cstheme="majorBidi"/>
      <w:b/>
      <w:sz w:val="26"/>
      <w:szCs w:val="26"/>
    </w:rPr>
  </w:style>
  <w:style w:type="character" w:customStyle="1" w:styleId="Heading1Char">
    <w:name w:val="Heading 1 Char"/>
    <w:basedOn w:val="DefaultParagraphFont"/>
    <w:link w:val="Heading1"/>
    <w:uiPriority w:val="9"/>
    <w:rsid w:val="0019094D"/>
    <w:rPr>
      <w:rFonts w:ascii="Times New Roman" w:eastAsiaTheme="majorEastAsia" w:hAnsi="Times New Roman" w:cstheme="majorBidi"/>
      <w:b/>
      <w:sz w:val="28"/>
      <w:szCs w:val="32"/>
    </w:rPr>
  </w:style>
  <w:style w:type="character" w:customStyle="1" w:styleId="Heading3Char">
    <w:name w:val="Heading 3 Char"/>
    <w:basedOn w:val="DefaultParagraphFont"/>
    <w:link w:val="Heading3"/>
    <w:uiPriority w:val="9"/>
    <w:semiHidden/>
    <w:rsid w:val="00EE276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E276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EE276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EE276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E276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E276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E2767"/>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19094D"/>
    <w:pPr>
      <w:spacing w:after="0" w:line="240" w:lineRule="auto"/>
      <w:contextualSpacing/>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19094D"/>
    <w:rPr>
      <w:rFonts w:ascii="Times New Roman" w:eastAsiaTheme="majorEastAsia" w:hAnsi="Times New Roman" w:cstheme="majorBidi"/>
      <w:b/>
      <w:spacing w:val="-10"/>
      <w:kern w:val="28"/>
      <w:sz w:val="32"/>
      <w:szCs w:val="56"/>
    </w:rPr>
  </w:style>
  <w:style w:type="table" w:styleId="TableGrid">
    <w:name w:val="Table Grid"/>
    <w:basedOn w:val="TableNormal"/>
    <w:uiPriority w:val="39"/>
    <w:rsid w:val="00CD5B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9094D"/>
    <w:pPr>
      <w:spacing w:after="0" w:line="240" w:lineRule="auto"/>
      <w:jc w:val="both"/>
    </w:pPr>
    <w:rPr>
      <w:rFonts w:ascii="Times New Roman" w:hAnsi="Times New Roman"/>
    </w:rPr>
  </w:style>
  <w:style w:type="paragraph" w:styleId="ListParagraph">
    <w:name w:val="List Paragraph"/>
    <w:basedOn w:val="Normal"/>
    <w:uiPriority w:val="34"/>
    <w:qFormat/>
    <w:rsid w:val="00CD5B74"/>
    <w:pPr>
      <w:ind w:left="720"/>
      <w:contextualSpacing/>
    </w:pPr>
  </w:style>
  <w:style w:type="character" w:styleId="Hyperlink">
    <w:name w:val="Hyperlink"/>
    <w:basedOn w:val="DefaultParagraphFont"/>
    <w:uiPriority w:val="99"/>
    <w:unhideWhenUsed/>
    <w:rsid w:val="00E041E2"/>
    <w:rPr>
      <w:color w:val="0563C1" w:themeColor="hyperlink"/>
      <w:u w:val="single"/>
    </w:rPr>
  </w:style>
  <w:style w:type="paragraph" w:styleId="Subtitle">
    <w:name w:val="Subtitle"/>
    <w:basedOn w:val="Normal"/>
    <w:next w:val="Normal"/>
    <w:link w:val="SubtitleChar"/>
    <w:uiPriority w:val="11"/>
    <w:qFormat/>
    <w:rsid w:val="0098006C"/>
    <w:pPr>
      <w:numPr>
        <w:ilvl w:val="1"/>
      </w:numPr>
    </w:pPr>
    <w:rPr>
      <w:rFonts w:eastAsiaTheme="minorEastAsia"/>
      <w:b/>
      <w:spacing w:val="15"/>
    </w:rPr>
  </w:style>
  <w:style w:type="character" w:customStyle="1" w:styleId="SubtitleChar">
    <w:name w:val="Subtitle Char"/>
    <w:basedOn w:val="DefaultParagraphFont"/>
    <w:link w:val="Subtitle"/>
    <w:uiPriority w:val="11"/>
    <w:rsid w:val="0098006C"/>
    <w:rPr>
      <w:rFonts w:ascii="Times New Roman" w:eastAsiaTheme="minorEastAsia" w:hAnsi="Times New Roman"/>
      <w:b/>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gov.co.uk/find-solutions/profil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765</Words>
  <Characters>4367</Characters>
  <Application>Microsoft Office Word</Application>
  <DocSecurity>0</DocSecurity>
  <Lines>36</Lines>
  <Paragraphs>10</Paragraphs>
  <ScaleCrop>false</ScaleCrop>
  <Company>Cardiff University</Company>
  <LinksUpToDate>false</LinksUpToDate>
  <CharactersWithSpaces>5122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insrv</dc:creator>
  <cp:keywords/>
  <dc:description/>
  <cp:lastModifiedBy>insrv</cp:lastModifiedBy>
  <cp:revision>17</cp:revision>
  <dcterms:created xsi:type="dcterms:W3CDTF">2016-10-17T13:40:00Z</dcterms:created>
  <dcterms:modified xsi:type="dcterms:W3CDTF">2017-02-21T10:18:00Z</dcterms:modified>
</cp:coreProperties>
</file>