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377C2C" w14:textId="53606206" w:rsidR="00C479B0" w:rsidRPr="00077A64" w:rsidRDefault="00077A64">
      <w:pPr>
        <w:rPr>
          <w:b/>
          <w:bCs/>
        </w:rPr>
      </w:pPr>
      <w:r w:rsidRPr="00077A64">
        <w:rPr>
          <w:b/>
          <w:bCs/>
        </w:rPr>
        <w:t xml:space="preserve">European Union </w:t>
      </w:r>
    </w:p>
    <w:p w14:paraId="37177D8A" w14:textId="77777777" w:rsidR="00077A64" w:rsidRDefault="00077A64"/>
    <w:p w14:paraId="4C694F06" w14:textId="05BA00B8" w:rsidR="00077A64" w:rsidRDefault="00077A64">
      <w:r w:rsidRPr="00077A64">
        <w:t>1. Without prejudice to Article 4(5) and Article 22, this Regulation shall apply to all concentrations with a Community dimension as defined in this Article.</w:t>
      </w:r>
    </w:p>
    <w:p w14:paraId="15162B5A" w14:textId="77777777" w:rsidR="00077A64" w:rsidRDefault="00077A64"/>
    <w:p w14:paraId="03929189" w14:textId="77777777" w:rsidR="00077A64" w:rsidRDefault="00077A64">
      <w:r w:rsidRPr="00077A64">
        <w:t xml:space="preserve">2. A concentration has a </w:t>
      </w:r>
      <w:proofErr w:type="gramStart"/>
      <w:r w:rsidRPr="00077A64">
        <w:t>Community</w:t>
      </w:r>
      <w:proofErr w:type="gramEnd"/>
      <w:r w:rsidRPr="00077A64">
        <w:t xml:space="preserve"> dimension where: </w:t>
      </w:r>
    </w:p>
    <w:p w14:paraId="14EC4301" w14:textId="77777777" w:rsidR="00077A64" w:rsidRDefault="00077A64"/>
    <w:p w14:paraId="30B1C682" w14:textId="77777777" w:rsidR="00077A64" w:rsidRDefault="00077A64">
      <w:r w:rsidRPr="00077A64">
        <w:t xml:space="preserve">(a) the combined aggregate worldwide turnover of all the undertakings concerned is more than EUR 5 000 million; and </w:t>
      </w:r>
    </w:p>
    <w:p w14:paraId="7714D602" w14:textId="77777777" w:rsidR="00077A64" w:rsidRDefault="00077A64"/>
    <w:p w14:paraId="123A9297" w14:textId="77777777" w:rsidR="00077A64" w:rsidRDefault="00077A64">
      <w:r w:rsidRPr="00077A64">
        <w:t xml:space="preserve">(b) the aggregate Community-wide turnover of each of at least two of the undertakings concerned is more than EUR 250 million, </w:t>
      </w:r>
    </w:p>
    <w:p w14:paraId="310E15F9" w14:textId="77777777" w:rsidR="00077A64" w:rsidRDefault="00077A64"/>
    <w:p w14:paraId="7365011B" w14:textId="6C165D81" w:rsidR="00077A64" w:rsidRDefault="00077A64">
      <w:r w:rsidRPr="00077A64">
        <w:t xml:space="preserve">unless each of the undertakings concerned achieves more than two-thirds of its aggregate Community-wide turnover within one and the same Member State. </w:t>
      </w:r>
    </w:p>
    <w:p w14:paraId="5FF80D87" w14:textId="77777777" w:rsidR="00077A64" w:rsidRDefault="00077A64"/>
    <w:p w14:paraId="0419E8E8" w14:textId="77777777" w:rsidR="00077A64" w:rsidRDefault="00077A64">
      <w:r w:rsidRPr="00077A64">
        <w:t xml:space="preserve">3. A concentration that does not meet the thresholds laid down in paragraph 2 has a </w:t>
      </w:r>
      <w:proofErr w:type="gramStart"/>
      <w:r w:rsidRPr="00077A64">
        <w:t>Community</w:t>
      </w:r>
      <w:proofErr w:type="gramEnd"/>
      <w:r w:rsidRPr="00077A64">
        <w:t xml:space="preserve"> dimension where: </w:t>
      </w:r>
    </w:p>
    <w:p w14:paraId="750525ED" w14:textId="77777777" w:rsidR="00077A64" w:rsidRDefault="00077A64"/>
    <w:p w14:paraId="751BFA34" w14:textId="77777777" w:rsidR="00077A64" w:rsidRDefault="00077A64">
      <w:r w:rsidRPr="00077A64">
        <w:t xml:space="preserve">(a) the combined aggregate worldwide turnover of all the undertakings concerned is more than EUR 2 500 </w:t>
      </w:r>
      <w:proofErr w:type="gramStart"/>
      <w:r w:rsidRPr="00077A64">
        <w:t>million;</w:t>
      </w:r>
      <w:proofErr w:type="gramEnd"/>
      <w:r w:rsidRPr="00077A64">
        <w:t xml:space="preserve"> </w:t>
      </w:r>
    </w:p>
    <w:p w14:paraId="265829C4" w14:textId="77777777" w:rsidR="00077A64" w:rsidRDefault="00077A64"/>
    <w:p w14:paraId="03E2D9FF" w14:textId="77777777" w:rsidR="00077A64" w:rsidRDefault="00077A64">
      <w:r w:rsidRPr="00077A64">
        <w:t xml:space="preserve">(b) in each of at least three Member States, the combined aggregate turnover of all the undertakings concerned is more than EUR 100 </w:t>
      </w:r>
      <w:proofErr w:type="gramStart"/>
      <w:r w:rsidRPr="00077A64">
        <w:t>million;</w:t>
      </w:r>
      <w:proofErr w:type="gramEnd"/>
      <w:r w:rsidRPr="00077A64">
        <w:t xml:space="preserve"> </w:t>
      </w:r>
    </w:p>
    <w:p w14:paraId="76D1CD68" w14:textId="77777777" w:rsidR="00077A64" w:rsidRDefault="00077A64"/>
    <w:p w14:paraId="53419CAD" w14:textId="77777777" w:rsidR="00077A64" w:rsidRDefault="00077A64">
      <w:r w:rsidRPr="00077A64">
        <w:t xml:space="preserve">(c) in each of at least three Member States included for the purpose of point (b), the aggregate turnover of each of at least two of the undertakings concerned is more than EUR 25 million; and </w:t>
      </w:r>
    </w:p>
    <w:p w14:paraId="6F221B25" w14:textId="77777777" w:rsidR="00077A64" w:rsidRDefault="00077A64"/>
    <w:p w14:paraId="1FB0718B" w14:textId="77777777" w:rsidR="00077A64" w:rsidRDefault="00077A64">
      <w:r w:rsidRPr="00077A64">
        <w:t xml:space="preserve">(d) the aggregate Community-wide turnover of each of at least two of the undertakings concerned is more than EUR 100 million, </w:t>
      </w:r>
    </w:p>
    <w:p w14:paraId="69144FF0" w14:textId="77777777" w:rsidR="00077A64" w:rsidRDefault="00077A64"/>
    <w:p w14:paraId="465F9BEF" w14:textId="4F00B45E" w:rsidR="00077A64" w:rsidRDefault="00077A64">
      <w:r w:rsidRPr="00077A64">
        <w:t xml:space="preserve">unless each of the undertakings concerned achieves more than two-thirds of its aggregate Community-wide turnover within one and the same Member State. </w:t>
      </w:r>
    </w:p>
    <w:p w14:paraId="2E36FB76" w14:textId="77777777" w:rsidR="00077A64" w:rsidRDefault="00077A64"/>
    <w:p w14:paraId="30B4F16C" w14:textId="77777777" w:rsidR="00077A64" w:rsidRDefault="00077A64">
      <w:r w:rsidRPr="00077A64">
        <w:t xml:space="preserve">4. </w:t>
      </w:r>
      <w:proofErr w:type="gramStart"/>
      <w:r w:rsidRPr="00077A64">
        <w:t>On the basis of</w:t>
      </w:r>
      <w:proofErr w:type="gramEnd"/>
      <w:r w:rsidRPr="00077A64">
        <w:t xml:space="preserve"> statistical data that may be regularly provided by the Member States, the Commission shall report to the Council on the operation of the thresholds and criteria set out in paragraphs 2 and 3 by 1 July 2009 and may present proposals pursuant to paragraph 5. </w:t>
      </w:r>
    </w:p>
    <w:p w14:paraId="67EA3D52" w14:textId="77777777" w:rsidR="00077A64" w:rsidRDefault="00077A64"/>
    <w:p w14:paraId="58C6722E" w14:textId="289E9C98" w:rsidR="00077A64" w:rsidRDefault="00077A64">
      <w:r w:rsidRPr="00077A64">
        <w:t>5. Following the report referred to in paragraph 4 and on a proposal from the Commission, the Council, acting by a qualified majority, may revise the thresholds and criteria mentioned in paragraph 3.</w:t>
      </w:r>
    </w:p>
    <w:sectPr w:rsidR="00077A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A64"/>
    <w:rsid w:val="00077A64"/>
    <w:rsid w:val="000D2950"/>
    <w:rsid w:val="00427EAE"/>
    <w:rsid w:val="006C611D"/>
    <w:rsid w:val="00C479B0"/>
    <w:rsid w:val="00F162CA"/>
    <w:rsid w:val="00F55E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51BDD6A"/>
  <w15:chartTrackingRefBased/>
  <w15:docId w15:val="{1E41DF58-364C-354F-BC88-3E538459E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7A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7A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7A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7A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7A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7A6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7A6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7A6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7A6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A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7A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7A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7A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7A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7A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7A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7A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7A64"/>
    <w:rPr>
      <w:rFonts w:eastAsiaTheme="majorEastAsia" w:cstheme="majorBidi"/>
      <w:color w:val="272727" w:themeColor="text1" w:themeTint="D8"/>
    </w:rPr>
  </w:style>
  <w:style w:type="paragraph" w:styleId="Title">
    <w:name w:val="Title"/>
    <w:basedOn w:val="Normal"/>
    <w:next w:val="Normal"/>
    <w:link w:val="TitleChar"/>
    <w:uiPriority w:val="10"/>
    <w:qFormat/>
    <w:rsid w:val="00077A6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A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7A6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7A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7A6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77A64"/>
    <w:rPr>
      <w:i/>
      <w:iCs/>
      <w:color w:val="404040" w:themeColor="text1" w:themeTint="BF"/>
    </w:rPr>
  </w:style>
  <w:style w:type="paragraph" w:styleId="ListParagraph">
    <w:name w:val="List Paragraph"/>
    <w:basedOn w:val="Normal"/>
    <w:uiPriority w:val="34"/>
    <w:qFormat/>
    <w:rsid w:val="00077A64"/>
    <w:pPr>
      <w:ind w:left="720"/>
      <w:contextualSpacing/>
    </w:pPr>
  </w:style>
  <w:style w:type="character" w:styleId="IntenseEmphasis">
    <w:name w:val="Intense Emphasis"/>
    <w:basedOn w:val="DefaultParagraphFont"/>
    <w:uiPriority w:val="21"/>
    <w:qFormat/>
    <w:rsid w:val="00077A64"/>
    <w:rPr>
      <w:i/>
      <w:iCs/>
      <w:color w:val="0F4761" w:themeColor="accent1" w:themeShade="BF"/>
    </w:rPr>
  </w:style>
  <w:style w:type="paragraph" w:styleId="IntenseQuote">
    <w:name w:val="Intense Quote"/>
    <w:basedOn w:val="Normal"/>
    <w:next w:val="Normal"/>
    <w:link w:val="IntenseQuoteChar"/>
    <w:uiPriority w:val="30"/>
    <w:qFormat/>
    <w:rsid w:val="00077A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7A64"/>
    <w:rPr>
      <w:i/>
      <w:iCs/>
      <w:color w:val="0F4761" w:themeColor="accent1" w:themeShade="BF"/>
    </w:rPr>
  </w:style>
  <w:style w:type="character" w:styleId="IntenseReference">
    <w:name w:val="Intense Reference"/>
    <w:basedOn w:val="DefaultParagraphFont"/>
    <w:uiPriority w:val="32"/>
    <w:qFormat/>
    <w:rsid w:val="00077A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291</Words>
  <Characters>1662</Characters>
  <Application>Microsoft Office Word</Application>
  <DocSecurity>0</DocSecurity>
  <Lines>13</Lines>
  <Paragraphs>3</Paragraphs>
  <ScaleCrop>false</ScaleCrop>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Yevgen Khodakovskyy</dc:creator>
  <cp:keywords/>
  <dc:description/>
  <cp:lastModifiedBy>Yevgen Khodakovskyy</cp:lastModifiedBy>
  <cp:revision>1</cp:revision>
  <dcterms:created xsi:type="dcterms:W3CDTF">2024-10-30T08:42:00Z</dcterms:created>
  <dcterms:modified xsi:type="dcterms:W3CDTF">2024-10-30T08:45:00Z</dcterms:modified>
</cp:coreProperties>
</file>