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7960205">
      <w:pPr>
        <w:widowControl w:val="0"/>
        <w:snapToGrid w:val="0"/>
        <w:spacing w:line="560" w:lineRule="exact"/>
        <w:jc w:val="left"/>
        <w:outlineLvl w:val="0"/>
        <w:rPr>
          <w:rFonts w:hint="eastAsia" w:ascii="仿宋" w:hAnsi="仿宋" w:eastAsia="仿宋" w:cs="Times New Roman"/>
          <w:b/>
          <w:sz w:val="32"/>
          <w:szCs w:val="32"/>
        </w:rPr>
      </w:pPr>
      <w:r>
        <w:rPr>
          <w:rFonts w:hint="eastAsia" w:ascii="仿宋" w:hAnsi="仿宋" w:eastAsia="仿宋" w:cs="Times New Roman"/>
          <w:b/>
          <w:sz w:val="32"/>
          <w:szCs w:val="32"/>
        </w:rPr>
        <w:t>7</w:t>
      </w:r>
      <w:r>
        <w:rPr>
          <w:rFonts w:ascii="仿宋" w:hAnsi="仿宋" w:eastAsia="仿宋" w:cs="Times New Roman"/>
          <w:b/>
          <w:sz w:val="32"/>
          <w:szCs w:val="32"/>
        </w:rPr>
        <w:tab/>
      </w:r>
      <w:r>
        <w:rPr>
          <w:rFonts w:hint="eastAsia" w:ascii="仿宋" w:hAnsi="仿宋" w:eastAsia="仿宋" w:cs="Times New Roman"/>
          <w:b/>
          <w:sz w:val="32"/>
          <w:szCs w:val="32"/>
        </w:rPr>
        <w:t>试验方案</w:t>
      </w:r>
    </w:p>
    <w:p w14:paraId="40D8371C">
      <w:pPr>
        <w:widowControl w:val="0"/>
        <w:snapToGrid w:val="0"/>
        <w:spacing w:line="560" w:lineRule="exact"/>
        <w:jc w:val="left"/>
        <w:outlineLvl w:val="1"/>
        <w:rPr>
          <w:rFonts w:hint="eastAsia" w:ascii="仿宋" w:hAnsi="仿宋" w:eastAsia="仿宋" w:cs="Times New Roman"/>
          <w:b/>
          <w:sz w:val="32"/>
          <w:szCs w:val="32"/>
        </w:rPr>
      </w:pPr>
      <w:r>
        <w:rPr>
          <w:rFonts w:hint="eastAsia" w:ascii="仿宋" w:hAnsi="仿宋" w:eastAsia="仿宋" w:cs="Times New Roman"/>
          <w:b/>
          <w:sz w:val="32"/>
          <w:szCs w:val="32"/>
        </w:rPr>
        <w:t>7</w:t>
      </w:r>
      <w:r>
        <w:rPr>
          <w:rFonts w:ascii="仿宋" w:hAnsi="仿宋" w:eastAsia="仿宋" w:cs="Times New Roman"/>
          <w:b/>
          <w:sz w:val="32"/>
          <w:szCs w:val="32"/>
        </w:rPr>
        <w:t>.1</w:t>
      </w:r>
      <w:r>
        <w:rPr>
          <w:rFonts w:hint="eastAsia" w:ascii="仿宋" w:hAnsi="仿宋" w:eastAsia="仿宋" w:cs="Times New Roman"/>
          <w:b/>
          <w:sz w:val="32"/>
          <w:szCs w:val="32"/>
        </w:rPr>
        <w:t xml:space="preserve"> 试验环境、载荷与条件</w:t>
      </w:r>
    </w:p>
    <w:p w14:paraId="5D01318B">
      <w:pPr>
        <w:widowControl w:val="0"/>
        <w:snapToGrid w:val="0"/>
        <w:spacing w:line="560" w:lineRule="exact"/>
        <w:ind w:firstLine="640" w:firstLineChars="200"/>
        <w:rPr>
          <w:rFonts w:hint="eastAsia" w:ascii="仿宋" w:hAnsi="仿宋" w:eastAsia="仿宋" w:cs="Times New Roman"/>
          <w:sz w:val="32"/>
          <w:szCs w:val="32"/>
        </w:rPr>
      </w:pPr>
      <w:bookmarkStart w:id="0" w:name="_Hlk210740192"/>
      <w:r>
        <w:rPr>
          <w:rFonts w:hint="eastAsia" w:ascii="仿宋" w:hAnsi="仿宋" w:eastAsia="仿宋" w:cs="Times New Roman"/>
          <w:sz w:val="32"/>
          <w:szCs w:val="32"/>
        </w:rPr>
        <w:t>（1）</w:t>
      </w:r>
      <w:r>
        <w:rPr>
          <w:rFonts w:ascii="仿宋" w:hAnsi="仿宋" w:eastAsia="仿宋" w:cs="Times New Roman"/>
          <w:sz w:val="32"/>
          <w:szCs w:val="32"/>
        </w:rPr>
        <w:t>设备内所有器件均不可带电插拔。</w:t>
      </w:r>
    </w:p>
    <w:p w14:paraId="11D67CD6">
      <w:pPr>
        <w:widowControl w:val="0"/>
        <w:snapToGrid w:val="0"/>
        <w:spacing w:line="560" w:lineRule="exact"/>
        <w:ind w:firstLine="640" w:firstLineChars="200"/>
        <w:rPr>
          <w:rFonts w:hint="eastAsia" w:ascii="仿宋" w:hAnsi="仿宋" w:eastAsia="仿宋" w:cs="Times New Roman"/>
          <w:sz w:val="32"/>
          <w:szCs w:val="32"/>
        </w:rPr>
      </w:pPr>
      <w:r>
        <w:rPr>
          <w:rFonts w:hint="eastAsia" w:ascii="仿宋" w:hAnsi="仿宋" w:eastAsia="仿宋" w:cs="Times New Roman"/>
          <w:sz w:val="32"/>
          <w:szCs w:val="32"/>
        </w:rPr>
        <w:t>（2）</w:t>
      </w:r>
      <w:r>
        <w:rPr>
          <w:rFonts w:ascii="仿宋" w:hAnsi="仿宋" w:eastAsia="仿宋" w:cs="Times New Roman"/>
          <w:sz w:val="32"/>
          <w:szCs w:val="32"/>
        </w:rPr>
        <w:t>快速原型仿真驱动柜、功率级仿真驱动柜的充放电分别起到减少电路冲击、柜内迅速放电的作用。上电时，需遵守先充电再上电再关闭充电的顺序；下电时，需遵守先下电再放电再关放电的顺序，以保证系统设备的用电规范及安全。</w:t>
      </w:r>
    </w:p>
    <w:p w14:paraId="6C7FE153">
      <w:pPr>
        <w:widowControl w:val="0"/>
        <w:snapToGrid w:val="0"/>
        <w:spacing w:line="560" w:lineRule="exact"/>
        <w:ind w:firstLine="640" w:firstLineChars="200"/>
        <w:rPr>
          <w:rFonts w:hint="eastAsia" w:ascii="仿宋" w:hAnsi="仿宋" w:eastAsia="仿宋" w:cs="Times New Roman"/>
          <w:sz w:val="32"/>
          <w:szCs w:val="32"/>
        </w:rPr>
      </w:pPr>
      <w:r>
        <w:rPr>
          <w:rFonts w:hint="eastAsia" w:ascii="仿宋" w:hAnsi="仿宋" w:eastAsia="仿宋" w:cs="Times New Roman"/>
          <w:sz w:val="32"/>
          <w:szCs w:val="32"/>
        </w:rPr>
        <w:t>（3）</w:t>
      </w:r>
      <w:r>
        <w:rPr>
          <w:rFonts w:ascii="仿宋" w:hAnsi="仿宋" w:eastAsia="仿宋" w:cs="Times New Roman"/>
          <w:sz w:val="32"/>
          <w:szCs w:val="32"/>
        </w:rPr>
        <w:t>开展RCP系统、功率级系统调试时，注意观察界面温度采集值，大于40℃时需打开散热风扇进行降温，或暂停设备运行。</w:t>
      </w:r>
    </w:p>
    <w:p w14:paraId="00F42737">
      <w:pPr>
        <w:widowControl w:val="0"/>
        <w:snapToGrid w:val="0"/>
        <w:spacing w:line="560" w:lineRule="exact"/>
        <w:ind w:firstLine="640" w:firstLineChars="200"/>
        <w:rPr>
          <w:rFonts w:hint="eastAsia" w:ascii="仿宋" w:hAnsi="仿宋" w:eastAsia="仿宋" w:cs="Times New Roman"/>
          <w:sz w:val="32"/>
          <w:szCs w:val="32"/>
        </w:rPr>
      </w:pPr>
      <w:r>
        <w:rPr>
          <w:rFonts w:hint="eastAsia" w:ascii="仿宋" w:hAnsi="仿宋" w:eastAsia="仿宋" w:cs="Times New Roman"/>
          <w:sz w:val="32"/>
          <w:szCs w:val="32"/>
        </w:rPr>
        <w:t>（4）</w:t>
      </w:r>
      <w:r>
        <w:rPr>
          <w:rFonts w:ascii="仿宋" w:hAnsi="仿宋" w:eastAsia="仿宋" w:cs="Times New Roman"/>
          <w:sz w:val="32"/>
          <w:szCs w:val="32"/>
        </w:rPr>
        <w:t>设备不使用时，及时断电。</w:t>
      </w:r>
    </w:p>
    <w:p w14:paraId="31911869">
      <w:pPr>
        <w:widowControl w:val="0"/>
        <w:snapToGrid w:val="0"/>
        <w:spacing w:line="560" w:lineRule="exact"/>
        <w:ind w:firstLine="640" w:firstLineChars="200"/>
        <w:rPr>
          <w:rFonts w:hint="eastAsia" w:ascii="仿宋" w:hAnsi="仿宋" w:eastAsia="仿宋" w:cs="Times New Roman"/>
          <w:sz w:val="32"/>
          <w:szCs w:val="32"/>
        </w:rPr>
      </w:pPr>
      <w:r>
        <w:rPr>
          <w:rFonts w:hint="eastAsia" w:ascii="仿宋" w:hAnsi="仿宋" w:eastAsia="仿宋" w:cs="Times New Roman"/>
          <w:sz w:val="32"/>
          <w:szCs w:val="32"/>
        </w:rPr>
        <w:t>（5）开展VPX实时控制单元系统调试或运行时，</w:t>
      </w:r>
      <w:r>
        <w:rPr>
          <w:rFonts w:ascii="仿宋" w:hAnsi="仿宋" w:eastAsia="仿宋" w:cs="Times New Roman"/>
          <w:sz w:val="32"/>
          <w:szCs w:val="32"/>
        </w:rPr>
        <w:t>需打开散热风扇进行降温</w:t>
      </w:r>
      <w:r>
        <w:rPr>
          <w:rFonts w:hint="eastAsia" w:ascii="仿宋" w:hAnsi="仿宋" w:eastAsia="仿宋" w:cs="Times New Roman"/>
          <w:sz w:val="32"/>
          <w:szCs w:val="32"/>
        </w:rPr>
        <w:t>。</w:t>
      </w:r>
    </w:p>
    <w:bookmarkEnd w:id="0"/>
    <w:p w14:paraId="4638AB44">
      <w:pPr>
        <w:widowControl w:val="0"/>
        <w:snapToGrid w:val="0"/>
        <w:spacing w:line="560" w:lineRule="exact"/>
        <w:jc w:val="left"/>
        <w:outlineLvl w:val="1"/>
        <w:rPr>
          <w:rFonts w:hint="eastAsia" w:ascii="仿宋" w:hAnsi="仿宋" w:eastAsia="仿宋" w:cs="Times New Roman"/>
          <w:b/>
          <w:sz w:val="32"/>
          <w:szCs w:val="32"/>
        </w:rPr>
      </w:pPr>
      <w:r>
        <w:rPr>
          <w:rFonts w:hint="eastAsia" w:ascii="仿宋" w:hAnsi="仿宋" w:eastAsia="仿宋" w:cs="Times New Roman"/>
          <w:b/>
          <w:sz w:val="32"/>
          <w:szCs w:val="32"/>
        </w:rPr>
        <w:t>7.2 试验方法</w:t>
      </w:r>
    </w:p>
    <w:p w14:paraId="23208170">
      <w:pPr>
        <w:widowControl w:val="0"/>
        <w:snapToGrid w:val="0"/>
        <w:spacing w:line="560" w:lineRule="exact"/>
        <w:ind w:firstLine="640" w:firstLineChars="200"/>
        <w:rPr>
          <w:rFonts w:hint="eastAsia" w:ascii="仿宋" w:hAnsi="仿宋" w:eastAsia="仿宋" w:cs="Times New Roman"/>
          <w:color w:val="000000" w:themeColor="text1"/>
          <w:sz w:val="32"/>
          <w:szCs w:val="32"/>
          <w14:textFill>
            <w14:solidFill>
              <w14:schemeClr w14:val="tx1"/>
            </w14:solidFill>
          </w14:textFill>
        </w:rPr>
      </w:pPr>
      <w:r>
        <w:rPr>
          <w:rFonts w:hint="eastAsia" w:ascii="仿宋" w:hAnsi="仿宋" w:eastAsia="仿宋" w:cs="Times New Roman"/>
          <w:color w:val="000000" w:themeColor="text1"/>
          <w:sz w:val="32"/>
          <w:szCs w:val="32"/>
          <w14:textFill>
            <w14:solidFill>
              <w14:schemeClr w14:val="tx1"/>
            </w14:solidFill>
          </w14:textFill>
        </w:rPr>
        <w:t>基于安全深度强化学习的发动机智能安全控制单元半物理仿真试验方法及步骤如下：</w:t>
      </w:r>
    </w:p>
    <w:p w14:paraId="54C24921">
      <w:pPr>
        <w:widowControl w:val="0"/>
        <w:snapToGrid w:val="0"/>
        <w:spacing w:line="560" w:lineRule="exact"/>
        <w:ind w:firstLine="640" w:firstLineChars="200"/>
        <w:rPr>
          <w:rFonts w:hint="eastAsia" w:ascii="仿宋" w:hAnsi="仿宋" w:eastAsia="仿宋" w:cs="Times New Roman"/>
          <w:sz w:val="32"/>
          <w:szCs w:val="32"/>
        </w:rPr>
      </w:pPr>
      <w:r>
        <w:rPr>
          <w:rFonts w:hint="eastAsia" w:ascii="仿宋" w:hAnsi="仿宋" w:eastAsia="仿宋" w:cs="Times New Roman"/>
          <w:sz w:val="32"/>
          <w:szCs w:val="32"/>
        </w:rPr>
        <w:t>一、试验准备</w:t>
      </w:r>
    </w:p>
    <w:p w14:paraId="3C7C53FA">
      <w:pPr>
        <w:widowControl w:val="0"/>
        <w:snapToGrid w:val="0"/>
        <w:spacing w:line="560" w:lineRule="exact"/>
        <w:ind w:firstLine="640" w:firstLineChars="200"/>
        <w:rPr>
          <w:rFonts w:hint="eastAsia" w:ascii="仿宋" w:hAnsi="仿宋" w:eastAsia="仿宋" w:cs="Times New Roman"/>
          <w:sz w:val="32"/>
          <w:szCs w:val="32"/>
        </w:rPr>
      </w:pPr>
      <w:r>
        <w:rPr>
          <w:rFonts w:hint="eastAsia" w:ascii="仿宋" w:hAnsi="仿宋" w:eastAsia="仿宋" w:cs="Times New Roman"/>
          <w:sz w:val="32"/>
          <w:szCs w:val="32"/>
        </w:rPr>
        <w:t>1、程序烧录</w:t>
      </w:r>
    </w:p>
    <w:p w14:paraId="08AE6142">
      <w:pPr>
        <w:widowControl w:val="0"/>
        <w:snapToGrid w:val="0"/>
        <w:spacing w:line="560" w:lineRule="exact"/>
        <w:ind w:firstLine="640" w:firstLineChars="200"/>
        <w:rPr>
          <w:rFonts w:hint="eastAsia" w:ascii="仿宋" w:hAnsi="仿宋" w:eastAsia="仿宋" w:cs="Times New Roman"/>
          <w:sz w:val="32"/>
          <w:szCs w:val="32"/>
        </w:rPr>
      </w:pPr>
      <w:r>
        <w:rPr>
          <w:rFonts w:hint="eastAsia" w:ascii="仿宋" w:hAnsi="仿宋" w:eastAsia="仿宋" w:cs="Times New Roman"/>
          <w:sz w:val="32"/>
          <w:szCs w:val="32"/>
        </w:rPr>
        <w:t>将智能安全控制算法程序编译后烧录至 VPX硬件控制单元；将数据交互与通信协议程序编译后烧录至 DSP模块。</w:t>
      </w:r>
    </w:p>
    <w:p w14:paraId="24D5E6BD">
      <w:pPr>
        <w:widowControl w:val="0"/>
        <w:snapToGrid w:val="0"/>
        <w:spacing w:line="560" w:lineRule="exact"/>
        <w:ind w:firstLine="640" w:firstLineChars="200"/>
        <w:rPr>
          <w:rFonts w:hint="eastAsia" w:ascii="仿宋" w:hAnsi="仿宋" w:eastAsia="仿宋" w:cs="Times New Roman"/>
          <w:sz w:val="32"/>
          <w:szCs w:val="32"/>
        </w:rPr>
      </w:pPr>
      <w:r>
        <w:rPr>
          <w:rFonts w:hint="eastAsia" w:ascii="仿宋" w:hAnsi="仿宋" w:eastAsia="仿宋" w:cs="Times New Roman"/>
          <w:sz w:val="32"/>
          <w:szCs w:val="32"/>
        </w:rPr>
        <w:t>2、设备检查与上电准备</w:t>
      </w:r>
    </w:p>
    <w:p w14:paraId="3D019842">
      <w:pPr>
        <w:widowControl w:val="0"/>
        <w:snapToGrid w:val="0"/>
        <w:spacing w:line="560" w:lineRule="exact"/>
        <w:ind w:firstLine="640" w:firstLineChars="200"/>
        <w:rPr>
          <w:rFonts w:hint="eastAsia" w:ascii="仿宋" w:hAnsi="仿宋" w:eastAsia="仿宋" w:cs="Times New Roman"/>
          <w:sz w:val="32"/>
          <w:szCs w:val="32"/>
        </w:rPr>
      </w:pPr>
      <w:r>
        <w:rPr>
          <w:rFonts w:hint="eastAsia" w:ascii="仿宋" w:hAnsi="仿宋" w:eastAsia="仿宋" w:cs="Times New Roman"/>
          <w:sz w:val="32"/>
          <w:szCs w:val="32"/>
        </w:rPr>
        <w:t>检查VPX与Speedgoat实时仿真机、RCP系统、尾喷管电机及电源的连接状态；设置电机直流电源电压 270 V，电流限幅 2.5 A，保持“Output”关闭状态。</w:t>
      </w:r>
    </w:p>
    <w:p w14:paraId="013AED47">
      <w:pPr>
        <w:widowControl w:val="0"/>
        <w:snapToGrid w:val="0"/>
        <w:spacing w:line="560" w:lineRule="exact"/>
        <w:ind w:firstLine="640" w:firstLineChars="200"/>
        <w:rPr>
          <w:rFonts w:hint="eastAsia" w:ascii="仿宋" w:hAnsi="仿宋" w:eastAsia="仿宋" w:cs="Times New Roman"/>
          <w:sz w:val="32"/>
          <w:szCs w:val="32"/>
        </w:rPr>
      </w:pPr>
      <w:r>
        <w:rPr>
          <w:rFonts w:hint="eastAsia" w:ascii="仿宋" w:hAnsi="仿宋" w:eastAsia="仿宋" w:cs="Times New Roman"/>
          <w:sz w:val="32"/>
          <w:szCs w:val="32"/>
        </w:rPr>
        <w:t>二、试验运行</w:t>
      </w:r>
    </w:p>
    <w:p w14:paraId="4CAD7357">
      <w:pPr>
        <w:widowControl w:val="0"/>
        <w:snapToGrid w:val="0"/>
        <w:spacing w:line="560" w:lineRule="exact"/>
        <w:ind w:firstLine="640" w:firstLineChars="200"/>
        <w:rPr>
          <w:rFonts w:hint="eastAsia" w:ascii="仿宋" w:hAnsi="仿宋" w:eastAsia="仿宋" w:cs="Times New Roman"/>
          <w:sz w:val="32"/>
          <w:szCs w:val="32"/>
        </w:rPr>
      </w:pPr>
      <w:r>
        <w:rPr>
          <w:rFonts w:hint="eastAsia" w:ascii="仿宋" w:hAnsi="仿宋" w:eastAsia="仿宋" w:cs="Times New Roman"/>
          <w:sz w:val="32"/>
          <w:szCs w:val="32"/>
        </w:rPr>
        <w:t>1、系统启动</w:t>
      </w:r>
    </w:p>
    <w:p w14:paraId="352EB370">
      <w:pPr>
        <w:widowControl w:val="0"/>
        <w:snapToGrid w:val="0"/>
        <w:spacing w:line="560" w:lineRule="exact"/>
        <w:ind w:firstLine="640" w:firstLineChars="200"/>
        <w:rPr>
          <w:rFonts w:hint="eastAsia" w:ascii="仿宋" w:hAnsi="仿宋" w:eastAsia="仿宋" w:cs="Times New Roman"/>
          <w:sz w:val="32"/>
          <w:szCs w:val="32"/>
        </w:rPr>
      </w:pPr>
      <w:r>
        <w:rPr>
          <w:rFonts w:hint="eastAsia" w:ascii="仿宋" w:hAnsi="仿宋" w:eastAsia="仿宋" w:cs="Times New Roman"/>
          <w:sz w:val="32"/>
          <w:szCs w:val="32"/>
        </w:rPr>
        <w:t>启动VPX硬件控制单元，运行智能安全控制程序；打开RCP系统HigaleView工程界面，加载并运行RCP模型；在Speedgoat实时仿真机 上位机中输入飞行条件参数（高度、马赫数、推力指令、拉偏参数、燃油执行器延迟）。</w:t>
      </w:r>
    </w:p>
    <w:p w14:paraId="5BA6A508">
      <w:pPr>
        <w:widowControl w:val="0"/>
        <w:snapToGrid w:val="0"/>
        <w:spacing w:line="560" w:lineRule="exact"/>
        <w:ind w:firstLine="640" w:firstLineChars="200"/>
        <w:rPr>
          <w:rFonts w:hint="eastAsia" w:ascii="仿宋" w:hAnsi="仿宋" w:eastAsia="仿宋" w:cs="Times New Roman"/>
          <w:sz w:val="32"/>
          <w:szCs w:val="32"/>
        </w:rPr>
      </w:pPr>
      <w:r>
        <w:rPr>
          <w:rFonts w:hint="eastAsia" w:ascii="仿宋" w:hAnsi="仿宋" w:eastAsia="仿宋" w:cs="Times New Roman"/>
          <w:sz w:val="32"/>
          <w:szCs w:val="32"/>
        </w:rPr>
        <w:t>2、同步上电与尾喷管RCP系统准备</w:t>
      </w:r>
    </w:p>
    <w:p w14:paraId="2315F97A">
      <w:pPr>
        <w:widowControl w:val="0"/>
        <w:snapToGrid w:val="0"/>
        <w:spacing w:line="560" w:lineRule="exact"/>
        <w:ind w:firstLine="640" w:firstLineChars="200"/>
        <w:rPr>
          <w:rFonts w:hint="eastAsia" w:ascii="仿宋" w:hAnsi="仿宋" w:eastAsia="仿宋" w:cs="Times New Roman"/>
          <w:sz w:val="32"/>
          <w:szCs w:val="32"/>
        </w:rPr>
      </w:pPr>
      <w:r>
        <w:rPr>
          <w:rFonts w:hint="eastAsia" w:ascii="仿宋" w:hAnsi="仿宋" w:eastAsia="仿宋" w:cs="Times New Roman"/>
          <w:sz w:val="32"/>
          <w:szCs w:val="32"/>
        </w:rPr>
        <w:t>打开尾喷管控制与监控界面，启动电机控制系统，完成充电、上电、同步使能与位置复位；按下电机电源“Output”键，开启电源输出。</w:t>
      </w:r>
    </w:p>
    <w:p w14:paraId="1D10816F">
      <w:pPr>
        <w:widowControl w:val="0"/>
        <w:snapToGrid w:val="0"/>
        <w:spacing w:line="560" w:lineRule="exact"/>
        <w:ind w:firstLine="640" w:firstLineChars="200"/>
        <w:rPr>
          <w:rFonts w:hint="eastAsia" w:ascii="仿宋" w:hAnsi="仿宋" w:eastAsia="仿宋" w:cs="Times New Roman"/>
          <w:sz w:val="32"/>
          <w:szCs w:val="32"/>
        </w:rPr>
      </w:pPr>
      <w:r>
        <w:rPr>
          <w:rFonts w:hint="eastAsia" w:ascii="仿宋" w:hAnsi="仿宋" w:eastAsia="仿宋" w:cs="Times New Roman"/>
          <w:sz w:val="32"/>
          <w:szCs w:val="32"/>
        </w:rPr>
        <w:t>3、仿真运行</w:t>
      </w:r>
    </w:p>
    <w:p w14:paraId="1D423713">
      <w:pPr>
        <w:widowControl w:val="0"/>
        <w:snapToGrid w:val="0"/>
        <w:spacing w:line="560" w:lineRule="exact"/>
        <w:ind w:firstLine="640" w:firstLineChars="200"/>
        <w:rPr>
          <w:rFonts w:hint="eastAsia" w:ascii="仿宋" w:hAnsi="仿宋" w:eastAsia="仿宋" w:cs="Times New Roman"/>
          <w:sz w:val="32"/>
          <w:szCs w:val="32"/>
        </w:rPr>
      </w:pPr>
      <w:r>
        <w:rPr>
          <w:rFonts w:hint="eastAsia" w:ascii="仿宋" w:hAnsi="仿宋" w:eastAsia="仿宋" w:cs="Times New Roman"/>
          <w:sz w:val="32"/>
          <w:szCs w:val="32"/>
        </w:rPr>
        <w:t>在Speedgoat上位机运行Real-Time Simulink程序，开始半物理仿真；实时监测控制响应与系统状态。</w:t>
      </w:r>
    </w:p>
    <w:p w14:paraId="10478CC7">
      <w:pPr>
        <w:widowControl w:val="0"/>
        <w:snapToGrid w:val="0"/>
        <w:spacing w:line="560" w:lineRule="exact"/>
        <w:ind w:firstLine="640" w:firstLineChars="200"/>
        <w:rPr>
          <w:rFonts w:hint="eastAsia" w:ascii="仿宋" w:hAnsi="仿宋" w:eastAsia="仿宋" w:cs="Times New Roman"/>
          <w:sz w:val="32"/>
          <w:szCs w:val="32"/>
        </w:rPr>
      </w:pPr>
      <w:r>
        <w:rPr>
          <w:rFonts w:hint="eastAsia" w:ascii="仿宋" w:hAnsi="仿宋" w:eastAsia="仿宋" w:cs="Times New Roman"/>
          <w:sz w:val="32"/>
          <w:szCs w:val="32"/>
        </w:rPr>
        <w:t>三、数据记录与关机</w:t>
      </w:r>
    </w:p>
    <w:p w14:paraId="23F05C9A">
      <w:pPr>
        <w:widowControl w:val="0"/>
        <w:snapToGrid w:val="0"/>
        <w:spacing w:line="560" w:lineRule="exact"/>
        <w:ind w:firstLine="640" w:firstLineChars="200"/>
        <w:rPr>
          <w:rFonts w:hint="eastAsia" w:ascii="仿宋" w:hAnsi="仿宋" w:eastAsia="仿宋" w:cs="Times New Roman"/>
          <w:sz w:val="32"/>
          <w:szCs w:val="32"/>
        </w:rPr>
      </w:pPr>
      <w:r>
        <w:rPr>
          <w:rFonts w:hint="eastAsia" w:ascii="仿宋" w:hAnsi="仿宋" w:eastAsia="仿宋" w:cs="Times New Roman"/>
          <w:sz w:val="32"/>
          <w:szCs w:val="32"/>
        </w:rPr>
        <w:t>1、数据保存</w:t>
      </w:r>
    </w:p>
    <w:p w14:paraId="571D3D29">
      <w:pPr>
        <w:widowControl w:val="0"/>
        <w:snapToGrid w:val="0"/>
        <w:spacing w:line="560" w:lineRule="exact"/>
        <w:ind w:firstLine="640" w:firstLineChars="200"/>
        <w:rPr>
          <w:rFonts w:hint="eastAsia" w:ascii="仿宋" w:hAnsi="仿宋" w:eastAsia="仿宋" w:cs="Times New Roman"/>
          <w:sz w:val="32"/>
          <w:szCs w:val="32"/>
        </w:rPr>
      </w:pPr>
      <w:r>
        <w:rPr>
          <w:rFonts w:hint="eastAsia" w:ascii="仿宋" w:hAnsi="仿宋" w:eastAsia="仿宋" w:cs="Times New Roman"/>
          <w:sz w:val="32"/>
          <w:szCs w:val="32"/>
        </w:rPr>
        <w:t>仿真结束后，通过 Simulink Data Inspector 检查运行曲线并保存仿真数据。</w:t>
      </w:r>
    </w:p>
    <w:p w14:paraId="17C03719">
      <w:pPr>
        <w:widowControl w:val="0"/>
        <w:snapToGrid w:val="0"/>
        <w:spacing w:line="560" w:lineRule="exact"/>
        <w:ind w:firstLine="640" w:firstLineChars="200"/>
        <w:rPr>
          <w:rFonts w:hint="eastAsia" w:ascii="仿宋" w:hAnsi="仿宋" w:eastAsia="仿宋" w:cs="Times New Roman"/>
          <w:sz w:val="32"/>
          <w:szCs w:val="32"/>
        </w:rPr>
      </w:pPr>
      <w:r>
        <w:rPr>
          <w:rFonts w:hint="eastAsia" w:ascii="仿宋" w:hAnsi="仿宋" w:eastAsia="仿宋" w:cs="Times New Roman"/>
          <w:sz w:val="32"/>
          <w:szCs w:val="32"/>
        </w:rPr>
        <w:t>2、系统关闭</w:t>
      </w:r>
    </w:p>
    <w:p w14:paraId="440E6E75">
      <w:pPr>
        <w:widowControl w:val="0"/>
        <w:snapToGrid w:val="0"/>
        <w:spacing w:line="560" w:lineRule="exact"/>
        <w:ind w:firstLine="640" w:firstLineChars="200"/>
        <w:rPr>
          <w:rFonts w:hint="eastAsia" w:ascii="仿宋" w:hAnsi="仿宋" w:eastAsia="仿宋" w:cs="Times New Roman"/>
          <w:sz w:val="32"/>
          <w:szCs w:val="32"/>
        </w:rPr>
      </w:pPr>
      <w:r>
        <w:rPr>
          <w:rFonts w:hint="eastAsia" w:ascii="仿宋" w:hAnsi="仿宋" w:eastAsia="仿宋" w:cs="Times New Roman"/>
          <w:sz w:val="32"/>
          <w:szCs w:val="32"/>
        </w:rPr>
        <w:t>在尾喷管控制与监控界面依次关闭“同步使能”与“三个M使能”；关闭“上电”与仿真运行程序；按下电机电源“Output”键，关闭电源输出，完成试验。</w:t>
      </w:r>
    </w:p>
    <w:p w14:paraId="3E5B56D9">
      <w:pPr>
        <w:widowControl w:val="0"/>
        <w:snapToGrid w:val="0"/>
        <w:spacing w:line="560" w:lineRule="exact"/>
        <w:jc w:val="left"/>
        <w:outlineLvl w:val="1"/>
        <w:rPr>
          <w:rFonts w:hint="eastAsia" w:ascii="仿宋" w:hAnsi="仿宋" w:eastAsia="仿宋" w:cs="Times New Roman"/>
          <w:b/>
          <w:color w:val="000000" w:themeColor="text1"/>
          <w:sz w:val="32"/>
          <w:szCs w:val="32"/>
          <w14:textFill>
            <w14:solidFill>
              <w14:schemeClr w14:val="tx1"/>
            </w14:solidFill>
          </w14:textFill>
        </w:rPr>
      </w:pPr>
      <w:r>
        <w:rPr>
          <w:rFonts w:hint="eastAsia" w:ascii="仿宋" w:hAnsi="仿宋" w:eastAsia="仿宋" w:cs="Times New Roman"/>
          <w:b/>
          <w:color w:val="000000" w:themeColor="text1"/>
          <w:sz w:val="32"/>
          <w:szCs w:val="32"/>
          <w14:textFill>
            <w14:solidFill>
              <w14:schemeClr w14:val="tx1"/>
            </w14:solidFill>
          </w14:textFill>
        </w:rPr>
        <w:t>7.3 测试方案</w:t>
      </w:r>
    </w:p>
    <w:p w14:paraId="6B61774A">
      <w:pPr>
        <w:widowControl w:val="0"/>
        <w:snapToGrid w:val="0"/>
        <w:spacing w:line="560" w:lineRule="exact"/>
        <w:ind w:firstLine="640" w:firstLineChars="200"/>
        <w:rPr>
          <w:rFonts w:hint="eastAsia" w:ascii="仿宋" w:hAnsi="仿宋" w:eastAsia="仿宋" w:cs="Times New Roman"/>
          <w:color w:val="000000" w:themeColor="text1"/>
          <w:sz w:val="32"/>
          <w:szCs w:val="32"/>
          <w14:textFill>
            <w14:solidFill>
              <w14:schemeClr w14:val="tx1"/>
            </w14:solidFill>
          </w14:textFill>
        </w:rPr>
      </w:pPr>
      <w:bookmarkStart w:id="1" w:name="_Hlk210740292"/>
      <w:r>
        <w:rPr>
          <w:rFonts w:hint="eastAsia" w:ascii="仿宋" w:hAnsi="仿宋" w:eastAsia="仿宋" w:cs="Times New Roman"/>
          <w:color w:val="000000" w:themeColor="text1"/>
          <w:sz w:val="32"/>
          <w:szCs w:val="32"/>
          <w14:textFill>
            <w14:solidFill>
              <w14:schemeClr w14:val="tx1"/>
            </w14:solidFill>
          </w14:textFill>
        </w:rPr>
        <w:t>基于安全深度强化学习的发动机智能安全控制单元半物理仿真试验方案如下：</w:t>
      </w:r>
    </w:p>
    <w:p w14:paraId="152A32EB">
      <w:pPr>
        <w:widowControl w:val="0"/>
        <w:snapToGrid w:val="0"/>
        <w:spacing w:line="560" w:lineRule="exact"/>
        <w:ind w:firstLine="640" w:firstLineChars="200"/>
        <w:rPr>
          <w:rFonts w:hint="eastAsia" w:ascii="仿宋" w:hAnsi="仿宋" w:eastAsia="仿宋" w:cs="Times New Roman"/>
          <w:color w:val="000000" w:themeColor="text1"/>
          <w:sz w:val="32"/>
          <w:szCs w:val="32"/>
          <w14:textFill>
            <w14:solidFill>
              <w14:schemeClr w14:val="tx1"/>
            </w14:solidFill>
          </w14:textFill>
        </w:rPr>
      </w:pPr>
      <w:r>
        <w:rPr>
          <w:rFonts w:hint="eastAsia" w:ascii="仿宋" w:hAnsi="仿宋" w:eastAsia="仿宋" w:cs="Times New Roman"/>
          <w:color w:val="000000" w:themeColor="text1"/>
          <w:sz w:val="32"/>
          <w:szCs w:val="32"/>
          <w14:textFill>
            <w14:solidFill>
              <w14:schemeClr w14:val="tx1"/>
            </w14:solidFill>
          </w14:textFill>
        </w:rPr>
        <w:t>（1）编译并烧录基于安全深度强化学习的发动机智能安全控制单元程序进VPX。</w:t>
      </w:r>
    </w:p>
    <w:p w14:paraId="0EF01D8B">
      <w:pPr>
        <w:widowControl w:val="0"/>
        <w:snapToGrid w:val="0"/>
        <w:spacing w:line="560" w:lineRule="exact"/>
        <w:ind w:firstLine="640" w:firstLineChars="200"/>
        <w:rPr>
          <w:rFonts w:hint="eastAsia" w:ascii="仿宋" w:hAnsi="仿宋" w:eastAsia="仿宋" w:cs="Times New Roman"/>
          <w:color w:val="000000" w:themeColor="text1"/>
          <w:sz w:val="32"/>
          <w:szCs w:val="32"/>
          <w14:textFill>
            <w14:solidFill>
              <w14:schemeClr w14:val="tx1"/>
            </w14:solidFill>
          </w14:textFill>
        </w:rPr>
      </w:pPr>
      <w:r>
        <w:rPr>
          <w:rFonts w:hint="eastAsia" w:ascii="仿宋" w:hAnsi="仿宋" w:eastAsia="仿宋" w:cs="Times New Roman"/>
          <w:color w:val="000000" w:themeColor="text1"/>
          <w:sz w:val="32"/>
          <w:szCs w:val="32"/>
          <w14:textFill>
            <w14:solidFill>
              <w14:schemeClr w14:val="tx1"/>
            </w14:solidFill>
          </w14:textFill>
        </w:rPr>
        <w:t>（2）在VPX上位机中编译并烧录数据交互和通信协议程序进DSP。</w:t>
      </w:r>
    </w:p>
    <w:p w14:paraId="2CAA0B81">
      <w:pPr>
        <w:widowControl w:val="0"/>
        <w:snapToGrid w:val="0"/>
        <w:spacing w:line="560" w:lineRule="exact"/>
        <w:ind w:firstLine="640" w:firstLineChars="200"/>
        <w:rPr>
          <w:rFonts w:hint="eastAsia" w:ascii="仿宋" w:hAnsi="仿宋" w:eastAsia="仿宋" w:cs="Times New Roman"/>
          <w:color w:val="000000" w:themeColor="text1"/>
          <w:sz w:val="32"/>
          <w:szCs w:val="32"/>
          <w14:textFill>
            <w14:solidFill>
              <w14:schemeClr w14:val="tx1"/>
            </w14:solidFill>
          </w14:textFill>
        </w:rPr>
      </w:pPr>
      <w:r>
        <w:rPr>
          <w:rFonts w:hint="eastAsia" w:ascii="仿宋" w:hAnsi="仿宋" w:eastAsia="仿宋" w:cs="Times New Roman"/>
          <w:color w:val="000000" w:themeColor="text1"/>
          <w:sz w:val="32"/>
          <w:szCs w:val="32"/>
          <w14:textFill>
            <w14:solidFill>
              <w14:schemeClr w14:val="tx1"/>
            </w14:solidFill>
          </w14:textFill>
        </w:rPr>
        <w:t>（3）启动VPX，并运行智能安全控制单元程序。</w:t>
      </w:r>
    </w:p>
    <w:p w14:paraId="12881B93">
      <w:pPr>
        <w:widowControl w:val="0"/>
        <w:snapToGrid w:val="0"/>
        <w:spacing w:line="560" w:lineRule="exact"/>
        <w:ind w:firstLine="640" w:firstLineChars="200"/>
        <w:rPr>
          <w:rFonts w:hint="eastAsia" w:ascii="仿宋" w:hAnsi="仿宋" w:eastAsia="仿宋" w:cs="Times New Roman"/>
          <w:color w:val="000000" w:themeColor="text1"/>
          <w:sz w:val="32"/>
          <w:szCs w:val="32"/>
          <w14:textFill>
            <w14:solidFill>
              <w14:schemeClr w14:val="tx1"/>
            </w14:solidFill>
          </w14:textFill>
        </w:rPr>
      </w:pPr>
      <w:r>
        <w:rPr>
          <w:rFonts w:hint="eastAsia" w:ascii="仿宋" w:hAnsi="仿宋" w:eastAsia="仿宋" w:cs="Times New Roman"/>
          <w:color w:val="000000" w:themeColor="text1"/>
          <w:sz w:val="32"/>
          <w:szCs w:val="32"/>
          <w14:textFill>
            <w14:solidFill>
              <w14:schemeClr w14:val="tx1"/>
            </w14:solidFill>
          </w14:textFill>
        </w:rPr>
        <w:t>（4）在Speedgoat上位机输入高度、马赫数、推力指令、拉偏参数及燃油执行器延迟。</w:t>
      </w:r>
    </w:p>
    <w:p w14:paraId="0A96835D">
      <w:pPr>
        <w:widowControl w:val="0"/>
        <w:snapToGrid w:val="0"/>
        <w:spacing w:line="560" w:lineRule="exact"/>
        <w:ind w:firstLine="640" w:firstLineChars="200"/>
        <w:rPr>
          <w:rFonts w:hint="eastAsia" w:ascii="仿宋" w:hAnsi="仿宋" w:eastAsia="仿宋" w:cs="Times New Roman"/>
          <w:color w:val="000000" w:themeColor="text1"/>
          <w:sz w:val="32"/>
          <w:szCs w:val="32"/>
          <w14:textFill>
            <w14:solidFill>
              <w14:schemeClr w14:val="tx1"/>
            </w14:solidFill>
          </w14:textFill>
        </w:rPr>
      </w:pPr>
      <w:r>
        <w:rPr>
          <w:rFonts w:hint="eastAsia" w:ascii="仿宋" w:hAnsi="仿宋" w:eastAsia="仿宋" w:cs="Times New Roman"/>
          <w:color w:val="000000" w:themeColor="text1"/>
          <w:sz w:val="32"/>
          <w:szCs w:val="32"/>
          <w14:textFill>
            <w14:solidFill>
              <w14:schemeClr w14:val="tx1"/>
            </w14:solidFill>
          </w14:textFill>
        </w:rPr>
        <w:t>（5）打开RCP系统HigaleView对应工程监控界面，运行RCP模型。</w:t>
      </w:r>
    </w:p>
    <w:p w14:paraId="4B3A39A9">
      <w:pPr>
        <w:widowControl w:val="0"/>
        <w:snapToGrid w:val="0"/>
        <w:spacing w:line="560" w:lineRule="exact"/>
        <w:ind w:firstLine="640" w:firstLineChars="200"/>
        <w:rPr>
          <w:rFonts w:hint="eastAsia" w:ascii="仿宋" w:hAnsi="仿宋" w:eastAsia="仿宋" w:cs="Times New Roman"/>
          <w:color w:val="000000" w:themeColor="text1"/>
          <w:sz w:val="32"/>
          <w:szCs w:val="32"/>
          <w14:textFill>
            <w14:solidFill>
              <w14:schemeClr w14:val="tx1"/>
            </w14:solidFill>
          </w14:textFill>
        </w:rPr>
      </w:pPr>
      <w:r>
        <w:rPr>
          <w:rFonts w:hint="eastAsia" w:ascii="仿宋" w:hAnsi="仿宋" w:eastAsia="仿宋" w:cs="Times New Roman"/>
          <w:color w:val="000000" w:themeColor="text1"/>
          <w:sz w:val="32"/>
          <w:szCs w:val="32"/>
          <w14:textFill>
            <w14:solidFill>
              <w14:schemeClr w14:val="tx1"/>
            </w14:solidFill>
          </w14:textFill>
        </w:rPr>
        <w:t>（6）设置电机电源电压输出270V、电流限幅2.5A，按下“output”键开启电源输出。</w:t>
      </w:r>
    </w:p>
    <w:p w14:paraId="13C2EF0D">
      <w:pPr>
        <w:widowControl w:val="0"/>
        <w:snapToGrid w:val="0"/>
        <w:spacing w:line="560" w:lineRule="exact"/>
        <w:ind w:firstLine="640" w:firstLineChars="200"/>
        <w:rPr>
          <w:rFonts w:hint="eastAsia" w:ascii="仿宋" w:hAnsi="仿宋" w:eastAsia="仿宋" w:cs="Times New Roman"/>
          <w:color w:val="000000" w:themeColor="text1"/>
          <w:sz w:val="32"/>
          <w:szCs w:val="32"/>
          <w14:textFill>
            <w14:solidFill>
              <w14:schemeClr w14:val="tx1"/>
            </w14:solidFill>
          </w14:textFill>
        </w:rPr>
      </w:pPr>
      <w:r>
        <w:rPr>
          <w:rFonts w:hint="eastAsia" w:ascii="仿宋" w:hAnsi="仿宋" w:eastAsia="仿宋" w:cs="Times New Roman"/>
          <w:color w:val="000000" w:themeColor="text1"/>
          <w:sz w:val="32"/>
          <w:szCs w:val="32"/>
          <w14:textFill>
            <w14:solidFill>
              <w14:schemeClr w14:val="tx1"/>
            </w14:solidFill>
          </w14:textFill>
        </w:rPr>
        <w:t>（7）通过尾喷管控制与监控界面启动电，完成充电上电同步使能位置复位等操作。</w:t>
      </w:r>
    </w:p>
    <w:p w14:paraId="3859735B">
      <w:pPr>
        <w:widowControl w:val="0"/>
        <w:snapToGrid w:val="0"/>
        <w:spacing w:line="560" w:lineRule="exact"/>
        <w:ind w:firstLine="640" w:firstLineChars="200"/>
        <w:rPr>
          <w:rFonts w:hint="eastAsia" w:ascii="仿宋" w:hAnsi="仿宋" w:eastAsia="仿宋" w:cs="Times New Roman"/>
          <w:color w:val="000000" w:themeColor="text1"/>
          <w:sz w:val="32"/>
          <w:szCs w:val="32"/>
          <w14:textFill>
            <w14:solidFill>
              <w14:schemeClr w14:val="tx1"/>
            </w14:solidFill>
          </w14:textFill>
        </w:rPr>
      </w:pPr>
      <w:r>
        <w:rPr>
          <w:rFonts w:hint="eastAsia" w:ascii="仿宋" w:hAnsi="仿宋" w:eastAsia="仿宋" w:cs="Times New Roman"/>
          <w:color w:val="000000" w:themeColor="text1"/>
          <w:sz w:val="32"/>
          <w:szCs w:val="32"/>
          <w14:textFill>
            <w14:solidFill>
              <w14:schemeClr w14:val="tx1"/>
            </w14:solidFill>
          </w14:textFill>
        </w:rPr>
        <w:t>（8）在Speedgoat上位机运行Real-Time Simulink程序。</w:t>
      </w:r>
    </w:p>
    <w:p w14:paraId="5AAB3549">
      <w:pPr>
        <w:widowControl w:val="0"/>
        <w:snapToGrid w:val="0"/>
        <w:spacing w:line="560" w:lineRule="exact"/>
        <w:ind w:firstLine="640" w:firstLineChars="200"/>
        <w:rPr>
          <w:rFonts w:hint="eastAsia" w:ascii="仿宋" w:hAnsi="仿宋" w:eastAsia="仿宋" w:cs="Times New Roman"/>
          <w:color w:val="000000" w:themeColor="text1"/>
          <w:sz w:val="32"/>
          <w:szCs w:val="32"/>
          <w14:textFill>
            <w14:solidFill>
              <w14:schemeClr w14:val="tx1"/>
            </w14:solidFill>
          </w14:textFill>
        </w:rPr>
      </w:pPr>
      <w:r>
        <w:rPr>
          <w:rFonts w:hint="eastAsia" w:ascii="仿宋" w:hAnsi="仿宋" w:eastAsia="仿宋" w:cs="Times New Roman"/>
          <w:color w:val="000000" w:themeColor="text1"/>
          <w:sz w:val="32"/>
          <w:szCs w:val="32"/>
          <w14:textFill>
            <w14:solidFill>
              <w14:schemeClr w14:val="tx1"/>
            </w14:solidFill>
          </w14:textFill>
        </w:rPr>
        <w:t>（9）待第（8）步实时仿真程序运行完毕，通过Simulink数据检查器查看运行曲线并保存仿真数据。</w:t>
      </w:r>
    </w:p>
    <w:p w14:paraId="75281971">
      <w:pPr>
        <w:widowControl w:val="0"/>
        <w:snapToGrid w:val="0"/>
        <w:spacing w:line="560" w:lineRule="exact"/>
        <w:ind w:firstLine="640" w:firstLineChars="200"/>
        <w:rPr>
          <w:rFonts w:hint="eastAsia" w:ascii="仿宋" w:hAnsi="仿宋" w:eastAsia="仿宋" w:cs="Times New Roman"/>
          <w:color w:val="000000" w:themeColor="text1"/>
          <w:sz w:val="32"/>
          <w:szCs w:val="32"/>
          <w14:textFill>
            <w14:solidFill>
              <w14:schemeClr w14:val="tx1"/>
            </w14:solidFill>
          </w14:textFill>
        </w:rPr>
      </w:pPr>
      <w:r>
        <w:rPr>
          <w:rFonts w:hint="eastAsia" w:ascii="仿宋" w:hAnsi="仿宋" w:eastAsia="仿宋" w:cs="Times New Roman"/>
          <w:color w:val="000000" w:themeColor="text1"/>
          <w:sz w:val="32"/>
          <w:szCs w:val="32"/>
          <w14:textFill>
            <w14:solidFill>
              <w14:schemeClr w14:val="tx1"/>
            </w14:solidFill>
          </w14:textFill>
        </w:rPr>
        <w:t>（10）完成试验任务后，尾喷管控制与监控界面关闭“同步使能”，关闭三个“M使能”；尾喷管控制与监控界面关闭“上电”停止仿真运行。</w:t>
      </w:r>
    </w:p>
    <w:p w14:paraId="1E6501C8">
      <w:pPr>
        <w:widowControl w:val="0"/>
        <w:snapToGrid w:val="0"/>
        <w:spacing w:line="560" w:lineRule="exact"/>
        <w:ind w:firstLine="640" w:firstLineChars="200"/>
        <w:rPr>
          <w:rFonts w:hint="eastAsia" w:ascii="仿宋" w:hAnsi="仿宋" w:eastAsia="仿宋" w:cs="Times New Roman"/>
          <w:color w:val="000000" w:themeColor="text1"/>
          <w:sz w:val="32"/>
          <w:szCs w:val="32"/>
          <w14:textFill>
            <w14:solidFill>
              <w14:schemeClr w14:val="tx1"/>
            </w14:solidFill>
          </w14:textFill>
        </w:rPr>
      </w:pPr>
      <w:r>
        <w:rPr>
          <w:rFonts w:hint="eastAsia" w:ascii="仿宋" w:hAnsi="仿宋" w:eastAsia="仿宋" w:cs="Times New Roman"/>
          <w:color w:val="000000" w:themeColor="text1"/>
          <w:sz w:val="32"/>
          <w:szCs w:val="32"/>
          <w14:textFill>
            <w14:solidFill>
              <w14:schemeClr w14:val="tx1"/>
            </w14:solidFill>
          </w14:textFill>
        </w:rPr>
        <w:t>（11）电机直流电源：按下“output”键关闭电源输出。</w:t>
      </w:r>
    </w:p>
    <w:bookmarkEnd w:id="1"/>
    <w:p w14:paraId="5EF9D848">
      <w:bookmarkStart w:id="2" w:name="_GoBack"/>
      <w:bookmarkEnd w:id="2"/>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modern"/>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9"/>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595E07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both"/>
    </w:pPr>
    <w:rPr>
      <w:rFonts w:asciiTheme="minorHAnsi" w:hAnsiTheme="minorHAnsi" w:eastAsiaTheme="minorEastAsia" w:cstheme="minorBidi"/>
      <w:kern w:val="2"/>
      <w:sz w:val="21"/>
      <w:szCs w:val="22"/>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0</TotalTime>
  <ScaleCrop>false</ScaleCrop>
  <LinksUpToDate>false</LinksUpToDate>
  <CharactersWithSpaces>0</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2026-09-29T13:53:58Z</dcterms:created>
  <dc:creator>18570</dc:creator>
  <cp:lastModifiedBy>来日方长</cp:lastModifiedBy>
  <dcterms:modified xsi:type="dcterms:W3CDTF">2026-09-29T13:54:04Z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KSOTemplateDocerSaveRecord">
    <vt:lpwstr>eyJoZGlkIjoiZTE1MjljY2RmNGFkYjgzY2I4NmQyOTFkMDRhNmE2NjEiLCJ1c2VySWQiOiI4MTM4MDQyOTkifQ==</vt:lpwstr>
  </property>
  <property fmtid="{D5CDD505-2E9C-101B-9397-08002B2CF9AE}" pid="4" name="ICV">
    <vt:lpwstr>EEBCF74E856A4A60B0FFF7B02441772B_12</vt:lpwstr>
  </property>
</Properties>
</file>