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深度学习在生物显微图像中的应用综述</w:t>
      </w:r>
    </w:p>
    <w:p>
      <w:pPr>
        <w:jc w:val="center"/>
      </w:pPr>
      <w:r>
        <w:rPr>
          <w:rFonts w:hint="eastAsia"/>
        </w:rPr>
        <w:t>叶学华 黄钢</w:t>
      </w:r>
    </w:p>
    <w:p>
      <w:r>
        <w:rPr>
          <w:rFonts w:hint="eastAsia"/>
        </w:rPr>
        <w:t>摘要，</w:t>
      </w:r>
    </w:p>
    <w:p>
      <w:r>
        <w:rPr>
          <w:rFonts w:hint="eastAsia"/>
        </w:rPr>
        <w:t>生物显微技术在医学的研究应用中起到了十分重要的作用，</w:t>
      </w:r>
    </w:p>
    <w:p/>
    <w:p>
      <w:r>
        <w:rPr>
          <w:rFonts w:hint="eastAsia"/>
        </w:rPr>
        <w:t>引言</w:t>
      </w:r>
    </w:p>
    <w:p/>
    <w:p>
      <w:r>
        <w:rPr>
          <w:rFonts w:hint="eastAsia"/>
        </w:rPr>
        <w:t>分类</w:t>
      </w:r>
    </w:p>
    <w:p>
      <w:pPr>
        <w:ind w:firstLine="420"/>
      </w:pPr>
      <w:r>
        <w:rPr>
          <w:rFonts w:hint="eastAsia"/>
          <w:lang w:eastAsia="zh-CN"/>
        </w:rPr>
        <w:t>图像分类，即将给定的图像定义一个标签，来决定该图像的类别。如根据荧光显微图像来分类蛋白质的表达是在细胞质内还是细胞核内，</w:t>
      </w:r>
      <w:bookmarkStart w:id="0" w:name="_GoBack"/>
      <w:bookmarkEnd w:id="0"/>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r>
        <w:rPr>
          <w:rFonts w:hint="eastAsia"/>
        </w:rPr>
        <w:t>超分辨率</w:t>
      </w:r>
    </w:p>
    <w:p>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p>
    <w:p>
      <w:r>
        <w:rPr>
          <w:rFonts w:hint="eastAsia"/>
        </w:rPr>
        <w:t>分割</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E564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70</TotalTime>
  <ScaleCrop>false</ScaleCrop>
  <LinksUpToDate>false</LinksUpToDate>
  <CharactersWithSpaces>1835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2020-05-21T21:41:00Z</dcterms:created>
  <dc:creator>Administrator</dc:creator>
  <cp:lastModifiedBy>Administrator</cp:lastModifiedBy>
  <dcterms:modified xsi:type="dcterms:W3CDTF">2020-05-27T14:49:12Z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