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D7B81">
      <w:pPr>
        <w:jc w:val="center"/>
        <w:rPr>
          <w:rFonts w:hint="eastAsia"/>
          <w:b/>
          <w:sz w:val="36"/>
          <w:szCs w:val="36"/>
        </w:rPr>
      </w:pPr>
      <w:r>
        <w:rPr>
          <w:rFonts w:hint="eastAsia"/>
          <w:b/>
          <w:sz w:val="36"/>
          <w:szCs w:val="36"/>
        </w:rPr>
        <w:t>仲裁员声明及承诺书</w:t>
      </w:r>
    </w:p>
    <w:p w14:paraId="3FA21657">
      <w:pPr>
        <w:spacing w:line="360" w:lineRule="auto"/>
        <w:ind w:firstLine="540" w:firstLineChars="225"/>
        <w:rPr>
          <w:rFonts w:hint="eastAsia"/>
          <w:b/>
          <w:bCs/>
          <w:sz w:val="24"/>
        </w:rPr>
      </w:pPr>
    </w:p>
    <w:p w14:paraId="627D76ED">
      <w:pPr>
        <w:spacing w:line="360" w:lineRule="auto"/>
        <w:ind w:firstLine="540" w:firstLineChars="225"/>
        <w:rPr>
          <w:rFonts w:hint="eastAsia"/>
          <w:b/>
          <w:bCs/>
          <w:color w:val="auto"/>
          <w:sz w:val="24"/>
          <w:highlight w:val="none"/>
        </w:rPr>
      </w:pPr>
      <w:r>
        <w:rPr>
          <w:rFonts w:hint="eastAsia"/>
          <w:b/>
          <w:bCs/>
          <w:sz w:val="24"/>
        </w:rPr>
        <w:t>本人</w:t>
      </w:r>
      <w:r>
        <w:rPr>
          <w:rFonts w:hint="eastAsia"/>
          <w:b/>
          <w:bCs/>
          <w:color w:val="auto"/>
          <w:sz w:val="24"/>
          <w:highlight w:val="none"/>
        </w:rPr>
        <w:t>作为广州仲裁委员会仲裁员郑重声明：</w:t>
      </w:r>
    </w:p>
    <w:p w14:paraId="457FC8F3">
      <w:pPr>
        <w:spacing w:line="360" w:lineRule="auto"/>
        <w:ind w:firstLine="540" w:firstLineChars="225"/>
        <w:rPr>
          <w:rFonts w:hint="eastAsia"/>
          <w:color w:val="auto"/>
          <w:sz w:val="24"/>
          <w:highlight w:val="none"/>
        </w:rPr>
      </w:pPr>
      <w:r>
        <w:rPr>
          <w:color w:val="auto"/>
          <w:sz w:val="24"/>
          <w:highlight w:val="none"/>
        </w:rPr>
        <w:t>1</w:t>
      </w:r>
      <w:r>
        <w:rPr>
          <w:rFonts w:hint="eastAsia"/>
          <w:color w:val="auto"/>
          <w:sz w:val="24"/>
          <w:highlight w:val="none"/>
        </w:rPr>
        <w:t>. 本人及配偶、直系亲属与本案当事人、法定代表人、负责人、代理人及其配偶既非直系亲属也非三代以内的旁系亲属；</w:t>
      </w:r>
    </w:p>
    <w:p w14:paraId="607666A1">
      <w:pPr>
        <w:spacing w:line="360" w:lineRule="auto"/>
        <w:ind w:firstLine="540" w:firstLineChars="225"/>
        <w:rPr>
          <w:rFonts w:hint="eastAsia"/>
          <w:color w:val="auto"/>
          <w:sz w:val="24"/>
          <w:highlight w:val="none"/>
        </w:rPr>
      </w:pPr>
      <w:r>
        <w:rPr>
          <w:color w:val="auto"/>
          <w:sz w:val="24"/>
          <w:highlight w:val="none"/>
        </w:rPr>
        <w:t>2</w:t>
      </w:r>
      <w:r>
        <w:rPr>
          <w:rFonts w:hint="eastAsia"/>
          <w:color w:val="auto"/>
          <w:sz w:val="24"/>
          <w:highlight w:val="none"/>
        </w:rPr>
        <w:t>. 本人及配偶、直系亲属与本案没有利害关系；</w:t>
      </w:r>
    </w:p>
    <w:p w14:paraId="0F6DB635">
      <w:pPr>
        <w:spacing w:line="360" w:lineRule="auto"/>
        <w:ind w:firstLine="540" w:firstLineChars="225"/>
        <w:rPr>
          <w:rFonts w:hint="eastAsia"/>
          <w:color w:val="auto"/>
          <w:sz w:val="24"/>
          <w:highlight w:val="none"/>
        </w:rPr>
      </w:pPr>
      <w:r>
        <w:rPr>
          <w:rFonts w:hint="eastAsia"/>
          <w:color w:val="auto"/>
          <w:sz w:val="24"/>
          <w:highlight w:val="none"/>
        </w:rPr>
        <w:t>3. 本人未私自会见过当事人、法定代表人、负责人、代理人，或者接受过当事人、法定代表人、负责人、代理人请客送礼；</w:t>
      </w:r>
    </w:p>
    <w:p w14:paraId="7DB65568">
      <w:pPr>
        <w:spacing w:line="360" w:lineRule="auto"/>
        <w:ind w:firstLine="540" w:firstLineChars="225"/>
        <w:rPr>
          <w:rFonts w:hint="eastAsia"/>
          <w:color w:val="auto"/>
          <w:sz w:val="24"/>
          <w:highlight w:val="none"/>
        </w:rPr>
      </w:pPr>
      <w:r>
        <w:rPr>
          <w:rFonts w:hint="eastAsia"/>
          <w:color w:val="auto"/>
          <w:sz w:val="24"/>
          <w:highlight w:val="none"/>
        </w:rPr>
        <w:t>4. 本人与本案当事人、法定代表人、负责人、代理人现在没有在同一单位工作；</w:t>
      </w:r>
    </w:p>
    <w:p w14:paraId="33ED0FB3">
      <w:pPr>
        <w:spacing w:line="360" w:lineRule="auto"/>
        <w:ind w:firstLine="540" w:firstLineChars="225"/>
        <w:rPr>
          <w:rFonts w:hint="eastAsia"/>
          <w:color w:val="auto"/>
          <w:sz w:val="24"/>
          <w:highlight w:val="none"/>
        </w:rPr>
      </w:pPr>
      <w:r>
        <w:rPr>
          <w:rFonts w:hint="eastAsia"/>
          <w:color w:val="auto"/>
          <w:sz w:val="24"/>
          <w:highlight w:val="none"/>
        </w:rPr>
        <w:t>5.本人对本案所涉争议没有向当事人推荐、介绍过代理人；</w:t>
      </w:r>
    </w:p>
    <w:p w14:paraId="50DF187F">
      <w:pPr>
        <w:spacing w:line="360" w:lineRule="auto"/>
        <w:ind w:firstLine="540" w:firstLineChars="225"/>
        <w:rPr>
          <w:rFonts w:hint="eastAsia"/>
          <w:color w:val="auto"/>
          <w:sz w:val="24"/>
          <w:highlight w:val="none"/>
        </w:rPr>
      </w:pPr>
      <w:r>
        <w:rPr>
          <w:rFonts w:hint="eastAsia"/>
          <w:color w:val="auto"/>
          <w:sz w:val="24"/>
          <w:highlight w:val="none"/>
        </w:rPr>
        <w:t>6.</w:t>
      </w:r>
      <w:r>
        <w:rPr>
          <w:rFonts w:hint="eastAsia"/>
          <w:color w:val="auto"/>
          <w:sz w:val="24"/>
          <w:highlight w:val="none"/>
          <w:lang w:eastAsia="zh-CN"/>
        </w:rPr>
        <w:t>本人对</w:t>
      </w:r>
      <w:r>
        <w:rPr>
          <w:rFonts w:hint="eastAsia"/>
          <w:color w:val="auto"/>
          <w:sz w:val="24"/>
          <w:highlight w:val="none"/>
        </w:rPr>
        <w:t>本案所涉争议没有提供过咨询，也没有担任过与本案所涉争议有关案件的证人、鉴定人、勘验人、翻译人员、辩护人、代理人；</w:t>
      </w:r>
    </w:p>
    <w:p w14:paraId="3664622A">
      <w:pPr>
        <w:spacing w:line="360" w:lineRule="auto"/>
        <w:ind w:firstLine="540" w:firstLineChars="225"/>
        <w:rPr>
          <w:rFonts w:hint="eastAsia"/>
          <w:color w:val="auto"/>
          <w:sz w:val="24"/>
          <w:highlight w:val="none"/>
        </w:rPr>
      </w:pPr>
      <w:r>
        <w:rPr>
          <w:rFonts w:hint="eastAsia"/>
          <w:color w:val="auto"/>
          <w:sz w:val="24"/>
          <w:highlight w:val="none"/>
        </w:rPr>
        <w:t>7.本会正在审理的其他案件中，本人不存在与本案当事人、代理人同为仲裁员的情形；</w:t>
      </w:r>
    </w:p>
    <w:p w14:paraId="396AA4C3">
      <w:pPr>
        <w:spacing w:line="360" w:lineRule="auto"/>
        <w:ind w:firstLine="540" w:firstLineChars="225"/>
        <w:rPr>
          <w:rFonts w:hint="eastAsia"/>
          <w:color w:val="auto"/>
          <w:sz w:val="24"/>
          <w:highlight w:val="none"/>
        </w:rPr>
      </w:pPr>
      <w:r>
        <w:rPr>
          <w:rFonts w:hint="eastAsia"/>
          <w:color w:val="auto"/>
          <w:sz w:val="24"/>
          <w:highlight w:val="none"/>
        </w:rPr>
        <w:t>8.本人未与本案当事人、代理人有咨询与被咨询、管理与被管理关系，或者担任本案当事人、代理人的代理人、顾问</w:t>
      </w:r>
      <w:r>
        <w:rPr>
          <w:rFonts w:hint="eastAsia"/>
          <w:color w:val="auto"/>
          <w:sz w:val="24"/>
          <w:highlight w:val="none"/>
          <w:lang w:eastAsia="zh-CN"/>
        </w:rPr>
        <w:t>，但至组庭之日有关关系已经结束超过二年的除外</w:t>
      </w:r>
      <w:r>
        <w:rPr>
          <w:rFonts w:hint="eastAsia"/>
          <w:color w:val="auto"/>
          <w:sz w:val="24"/>
          <w:highlight w:val="none"/>
        </w:rPr>
        <w:t>；</w:t>
      </w:r>
    </w:p>
    <w:p w14:paraId="0B0B3A57">
      <w:pPr>
        <w:spacing w:line="360" w:lineRule="auto"/>
        <w:ind w:firstLine="540" w:firstLineChars="225"/>
        <w:rPr>
          <w:rFonts w:hint="eastAsia" w:eastAsia="宋体"/>
          <w:color w:val="auto"/>
          <w:sz w:val="24"/>
          <w:highlight w:val="none"/>
          <w:lang w:eastAsia="zh-CN"/>
        </w:rPr>
      </w:pPr>
      <w:r>
        <w:rPr>
          <w:rFonts w:hint="eastAsia"/>
          <w:color w:val="auto"/>
          <w:sz w:val="24"/>
          <w:highlight w:val="none"/>
        </w:rPr>
        <w:t>9. 在广州仲裁委员会同时审理的案件或已审结的案件中，本人不存在与本案互为案件的当事人、代理人和仲裁员的情形</w:t>
      </w:r>
      <w:r>
        <w:rPr>
          <w:rFonts w:hint="eastAsia"/>
          <w:color w:val="auto"/>
          <w:sz w:val="24"/>
          <w:highlight w:val="none"/>
          <w:lang w:eastAsia="zh-CN"/>
        </w:rPr>
        <w:t>，但至组庭之日案件已经审结超过二年的除外；</w:t>
      </w:r>
    </w:p>
    <w:p w14:paraId="7E8D0B6C">
      <w:pPr>
        <w:spacing w:line="360" w:lineRule="auto"/>
        <w:ind w:firstLine="540" w:firstLineChars="225"/>
        <w:rPr>
          <w:rFonts w:hint="eastAsia"/>
          <w:color w:val="auto"/>
          <w:sz w:val="24"/>
          <w:highlight w:val="none"/>
          <w:u w:val="single"/>
        </w:rPr>
      </w:pPr>
      <w:r>
        <w:rPr>
          <w:rFonts w:hint="eastAsia"/>
          <w:color w:val="auto"/>
          <w:sz w:val="24"/>
          <w:highlight w:val="none"/>
        </w:rPr>
        <w:t>10.</w:t>
      </w:r>
      <w:r>
        <w:rPr>
          <w:rFonts w:hint="eastAsia"/>
          <w:color w:val="auto"/>
          <w:sz w:val="24"/>
          <w:highlight w:val="none"/>
        </w:rPr>
        <w:sym w:font="Wingdings 2" w:char="00A3"/>
      </w:r>
      <w:r>
        <w:rPr>
          <w:rFonts w:hint="eastAsia"/>
          <w:color w:val="auto"/>
          <w:sz w:val="24"/>
          <w:highlight w:val="none"/>
        </w:rPr>
        <w:t>不存在可能影响本人对本案作出公正裁决的情形；</w:t>
      </w:r>
      <w:r>
        <w:rPr>
          <w:rFonts w:hint="eastAsia"/>
          <w:color w:val="auto"/>
          <w:sz w:val="24"/>
          <w:highlight w:val="none"/>
        </w:rPr>
        <w:sym w:font="Wingdings 2" w:char="00A3"/>
      </w:r>
      <w:r>
        <w:rPr>
          <w:rFonts w:hint="eastAsia"/>
          <w:color w:val="auto"/>
          <w:sz w:val="24"/>
          <w:highlight w:val="none"/>
          <w:u w:val="single"/>
        </w:rPr>
        <w:t>本人认为可能引起当事人对本人独立性、公正性产生合理怀疑的情形</w:t>
      </w:r>
      <w:r>
        <w:rPr>
          <w:rFonts w:hint="eastAsia"/>
          <w:color w:val="auto"/>
          <w:sz w:val="24"/>
          <w:highlight w:val="none"/>
          <w:u w:val="single"/>
          <w:lang w:eastAsia="zh-CN"/>
        </w:rPr>
        <w:t>需要披露</w:t>
      </w:r>
      <w:r>
        <w:rPr>
          <w:rFonts w:hint="eastAsia"/>
          <w:color w:val="auto"/>
          <w:sz w:val="24"/>
          <w:highlight w:val="none"/>
          <w:u w:val="single"/>
        </w:rPr>
        <w:t xml:space="preserve">：              </w:t>
      </w:r>
      <w:r>
        <w:rPr>
          <w:rFonts w:hint="eastAsia"/>
          <w:color w:val="auto"/>
          <w:sz w:val="24"/>
          <w:highlight w:val="none"/>
          <w:u w:val="single"/>
          <w:lang w:val="en-US" w:eastAsia="zh-CN"/>
        </w:rPr>
        <w:t xml:space="preserve">    </w:t>
      </w:r>
      <w:r>
        <w:rPr>
          <w:rFonts w:hint="eastAsia"/>
          <w:color w:val="auto"/>
          <w:sz w:val="24"/>
          <w:highlight w:val="none"/>
          <w:u w:val="single"/>
        </w:rPr>
        <w:t xml:space="preserve">               </w:t>
      </w:r>
      <w:r>
        <w:rPr>
          <w:rFonts w:hint="eastAsia"/>
          <w:color w:val="auto"/>
          <w:sz w:val="24"/>
          <w:highlight w:val="none"/>
          <w:u w:val="single"/>
          <w:lang w:val="en-US" w:eastAsia="zh-CN"/>
        </w:rPr>
        <w:t xml:space="preserve">    </w:t>
      </w:r>
      <w:r>
        <w:rPr>
          <w:rFonts w:hint="eastAsia"/>
          <w:color w:val="auto"/>
          <w:sz w:val="24"/>
          <w:highlight w:val="none"/>
          <w:u w:val="single"/>
        </w:rPr>
        <w:t xml:space="preserve">  </w:t>
      </w:r>
    </w:p>
    <w:p w14:paraId="385D9BAD">
      <w:pPr>
        <w:spacing w:line="360" w:lineRule="auto"/>
        <w:ind w:left="14" w:leftChars="0" w:hanging="14" w:hangingChars="6"/>
        <w:rPr>
          <w:rFonts w:hint="eastAsia"/>
          <w:color w:val="auto"/>
          <w:sz w:val="24"/>
          <w:highlight w:val="none"/>
          <w:u w:val="single"/>
        </w:rPr>
      </w:pPr>
      <w:r>
        <w:rPr>
          <w:rFonts w:hint="eastAsia"/>
          <w:color w:val="auto"/>
          <w:sz w:val="24"/>
          <w:highlight w:val="none"/>
          <w:u w:val="single"/>
        </w:rPr>
        <w:t xml:space="preserve">              </w:t>
      </w:r>
      <w:r>
        <w:rPr>
          <w:rFonts w:hint="eastAsia"/>
          <w:color w:val="auto"/>
          <w:sz w:val="24"/>
          <w:highlight w:val="none"/>
          <w:u w:val="single"/>
          <w:lang w:val="en-US" w:eastAsia="zh-CN"/>
        </w:rPr>
        <w:t xml:space="preserve">    </w:t>
      </w:r>
      <w:r>
        <w:rPr>
          <w:rFonts w:hint="eastAsia"/>
          <w:color w:val="auto"/>
          <w:sz w:val="24"/>
          <w:highlight w:val="none"/>
          <w:u w:val="single"/>
        </w:rPr>
        <w:t xml:space="preserve">                  </w:t>
      </w:r>
      <w:r>
        <w:rPr>
          <w:rFonts w:hint="eastAsia"/>
          <w:color w:val="auto"/>
          <w:sz w:val="24"/>
          <w:highlight w:val="none"/>
          <w:u w:val="single"/>
          <w:lang w:val="en-US" w:eastAsia="zh-CN"/>
        </w:rPr>
        <w:t xml:space="preserve">    </w:t>
      </w:r>
      <w:r>
        <w:rPr>
          <w:rFonts w:hint="eastAsia"/>
          <w:color w:val="auto"/>
          <w:sz w:val="24"/>
          <w:highlight w:val="none"/>
          <w:u w:val="single"/>
        </w:rPr>
        <w:t xml:space="preserve">           </w:t>
      </w:r>
      <w:r>
        <w:rPr>
          <w:rFonts w:hint="eastAsia"/>
          <w:color w:val="auto"/>
          <w:sz w:val="24"/>
          <w:highlight w:val="none"/>
          <w:u w:val="single"/>
          <w:lang w:val="en-US" w:eastAsia="zh-CN"/>
        </w:rPr>
        <w:t xml:space="preserve">      </w:t>
      </w:r>
      <w:r>
        <w:rPr>
          <w:rFonts w:hint="eastAsia"/>
          <w:color w:val="auto"/>
          <w:sz w:val="24"/>
          <w:highlight w:val="none"/>
          <w:u w:val="single"/>
        </w:rPr>
        <w:t xml:space="preserve">       </w:t>
      </w:r>
      <w:r>
        <w:rPr>
          <w:rFonts w:hint="eastAsia"/>
          <w:color w:val="auto"/>
          <w:sz w:val="24"/>
          <w:highlight w:val="none"/>
          <w:u w:val="single"/>
          <w:lang w:val="en-US" w:eastAsia="zh-CN"/>
        </w:rPr>
        <w:t xml:space="preserve">    </w:t>
      </w:r>
      <w:r>
        <w:rPr>
          <w:rFonts w:hint="eastAsia"/>
          <w:color w:val="auto"/>
          <w:sz w:val="24"/>
          <w:highlight w:val="none"/>
          <w:u w:val="single"/>
        </w:rPr>
        <w:t xml:space="preserve">  </w:t>
      </w:r>
      <w:r>
        <w:rPr>
          <w:rFonts w:hint="eastAsia"/>
          <w:color w:val="auto"/>
          <w:sz w:val="24"/>
          <w:highlight w:val="none"/>
        </w:rPr>
        <w:t xml:space="preserve">                                                                    </w:t>
      </w:r>
      <w:r>
        <w:rPr>
          <w:rFonts w:hint="eastAsia"/>
          <w:color w:val="auto"/>
          <w:sz w:val="24"/>
          <w:highlight w:val="none"/>
          <w:u w:val="single"/>
        </w:rPr>
        <w:t xml:space="preserve">   </w:t>
      </w:r>
      <w:r>
        <w:rPr>
          <w:rFonts w:hint="eastAsia"/>
          <w:color w:val="auto"/>
          <w:sz w:val="24"/>
          <w:highlight w:val="none"/>
        </w:rPr>
        <w:t xml:space="preserve">                                             </w:t>
      </w:r>
      <w:r>
        <w:rPr>
          <w:rFonts w:hint="eastAsia"/>
          <w:color w:val="auto"/>
          <w:sz w:val="24"/>
          <w:highlight w:val="none"/>
          <w:u w:val="single"/>
        </w:rPr>
        <w:t xml:space="preserve">                                           </w:t>
      </w:r>
    </w:p>
    <w:p w14:paraId="6872E3DB">
      <w:pPr>
        <w:spacing w:line="360" w:lineRule="auto"/>
        <w:ind w:left="15" w:leftChars="7" w:firstLine="516" w:firstLineChars="215"/>
        <w:rPr>
          <w:rFonts w:hint="eastAsia"/>
          <w:color w:val="auto"/>
          <w:sz w:val="24"/>
          <w:highlight w:val="none"/>
        </w:rPr>
      </w:pPr>
      <w:r>
        <w:rPr>
          <w:rFonts w:hint="eastAsia"/>
          <w:b/>
          <w:bCs/>
          <w:color w:val="auto"/>
          <w:sz w:val="24"/>
          <w:highlight w:val="none"/>
        </w:rPr>
        <w:t>保密义务：</w:t>
      </w:r>
      <w:r>
        <w:rPr>
          <w:rFonts w:hint="eastAsia"/>
          <w:color w:val="auto"/>
          <w:sz w:val="24"/>
          <w:highlight w:val="none"/>
        </w:rPr>
        <w:t xml:space="preserve"> 仲裁员应当遵守仲裁不公开原则，严格履行保密义务，不得对外界透露任何有关案件的情况，包括但不限于案情、审理过程、案件涉及的商业秘密、仲裁庭合议意见等内容；不得向当事人透露本人对案件的看法和仲裁庭合议的情况；不得利用履行仲裁职责获取案件保密信息为自己或他人谋取利益。</w:t>
      </w:r>
    </w:p>
    <w:p w14:paraId="4906FEAE">
      <w:pPr>
        <w:spacing w:line="360" w:lineRule="auto"/>
        <w:ind w:left="15" w:leftChars="7" w:firstLine="516" w:firstLineChars="215"/>
        <w:rPr>
          <w:rFonts w:hint="eastAsia"/>
          <w:b/>
          <w:bCs/>
          <w:color w:val="auto"/>
          <w:sz w:val="24"/>
          <w:highlight w:val="none"/>
        </w:rPr>
      </w:pPr>
      <w:r>
        <w:rPr>
          <w:rFonts w:hint="eastAsia"/>
          <w:b/>
          <w:bCs/>
          <w:color w:val="auto"/>
          <w:sz w:val="24"/>
          <w:highlight w:val="none"/>
          <w:u w:val="none"/>
        </w:rPr>
        <w:t>本人</w:t>
      </w:r>
      <w:r>
        <w:rPr>
          <w:rFonts w:hint="eastAsia"/>
          <w:b/>
          <w:bCs/>
          <w:color w:val="auto"/>
          <w:sz w:val="24"/>
          <w:highlight w:val="none"/>
        </w:rPr>
        <w:t>确知：</w:t>
      </w:r>
      <w:r>
        <w:rPr>
          <w:rFonts w:hint="eastAsia"/>
          <w:color w:val="auto"/>
          <w:sz w:val="24"/>
          <w:highlight w:val="none"/>
        </w:rPr>
        <w:t>仲裁员无论是由当事人选定或由广州仲裁委员会主任指定而参加案件审理，都应平等对待双方当事人，不代表任何一方当事人的利益，不偏袒任何一方当事人。</w:t>
      </w:r>
    </w:p>
    <w:p w14:paraId="7BE9BAE9">
      <w:pPr>
        <w:spacing w:line="360" w:lineRule="auto"/>
        <w:ind w:firstLine="480" w:firstLineChars="200"/>
        <w:rPr>
          <w:rFonts w:hint="eastAsia"/>
          <w:color w:val="auto"/>
          <w:sz w:val="24"/>
          <w:highlight w:val="none"/>
        </w:rPr>
      </w:pPr>
      <w:r>
        <w:rPr>
          <w:rFonts w:hint="eastAsia"/>
          <w:b/>
          <w:bCs/>
          <w:color w:val="auto"/>
          <w:sz w:val="24"/>
          <w:highlight w:val="none"/>
        </w:rPr>
        <w:t>本人承诺：</w:t>
      </w:r>
      <w:r>
        <w:rPr>
          <w:rFonts w:hint="eastAsia"/>
          <w:color w:val="auto"/>
          <w:sz w:val="24"/>
          <w:highlight w:val="none"/>
        </w:rPr>
        <w:t>遵守本会《仲裁规则》和《仲裁员守则》的规定，保证办案时</w:t>
      </w:r>
    </w:p>
    <w:p w14:paraId="7E40FDB0">
      <w:pPr>
        <w:spacing w:line="360" w:lineRule="auto"/>
        <w:rPr>
          <w:rFonts w:hint="eastAsia"/>
          <w:sz w:val="24"/>
        </w:rPr>
      </w:pPr>
      <w:r>
        <w:rPr>
          <w:rFonts w:hint="eastAsia"/>
          <w:color w:val="auto"/>
          <w:sz w:val="24"/>
          <w:highlight w:val="none"/>
        </w:rPr>
        <w:t>间，</w:t>
      </w:r>
      <w:r>
        <w:rPr>
          <w:rFonts w:hint="eastAsia"/>
          <w:color w:val="auto"/>
          <w:sz w:val="24"/>
          <w:highlight w:val="none"/>
          <w:lang w:val="en-US" w:eastAsia="zh-CN"/>
        </w:rPr>
        <w:t>不私下会见当事人、代理人，不接受当事人、代理人的请客送礼，</w:t>
      </w:r>
      <w:r>
        <w:rPr>
          <w:rFonts w:hint="eastAsia"/>
          <w:color w:val="auto"/>
          <w:sz w:val="24"/>
          <w:highlight w:val="none"/>
        </w:rPr>
        <w:t>独立、公正、勤勉、高效地为当事人解决争议。如有违反上述规定情形，本人主动辞去仲裁员一职并接受广州仲裁委员会按相关规</w:t>
      </w:r>
      <w:r>
        <w:rPr>
          <w:rFonts w:hint="eastAsia"/>
          <w:sz w:val="24"/>
        </w:rPr>
        <w:t>定处理。</w:t>
      </w:r>
    </w:p>
    <w:p w14:paraId="41F53084">
      <w:pPr>
        <w:spacing w:line="360" w:lineRule="auto"/>
        <w:rPr>
          <w:rFonts w:hint="eastAsia"/>
          <w:sz w:val="24"/>
        </w:rPr>
      </w:pPr>
    </w:p>
    <w:p w14:paraId="36E5B469">
      <w:pPr>
        <w:spacing w:line="360" w:lineRule="auto"/>
        <w:rPr>
          <w:rFonts w:hint="eastAsia"/>
          <w:sz w:val="24"/>
        </w:rPr>
      </w:pPr>
    </w:p>
    <w:p w14:paraId="159BA1A1">
      <w:pPr>
        <w:spacing w:line="360" w:lineRule="auto"/>
        <w:ind w:firstLine="5340" w:firstLineChars="2225"/>
        <w:rPr>
          <w:rFonts w:hint="eastAsia"/>
          <w:sz w:val="24"/>
        </w:rPr>
      </w:pPr>
      <w:r>
        <w:rPr>
          <w:rFonts w:hint="eastAsia" w:eastAsia="宋体"/>
          <w:sz w:val="24"/>
          <w:lang w:val="en-US" w:eastAsia="zh-CN"/>
        </w:rPr>
        <w:t>专家</w:t>
      </w:r>
      <w:bookmarkStart w:id="0" w:name="_GoBack"/>
      <w:bookmarkEnd w:id="0"/>
      <w:r>
        <w:rPr>
          <w:rFonts w:hint="eastAsia"/>
          <w:sz w:val="24"/>
        </w:rPr>
        <w:t>：</w:t>
      </w:r>
      <w:r>
        <w:rPr>
          <w:rFonts w:hint="eastAsia"/>
          <w:sz w:val="24"/>
          <w:u w:val="single"/>
        </w:rPr>
        <w:t xml:space="preserve">     </w:t>
      </w:r>
      <w:r>
        <w:rPr>
          <w:rFonts w:hint="eastAsia" w:eastAsia="宋体"/>
          <w:sz w:val="24"/>
          <w:u w:val="single"/>
          <w:lang w:val="en-US" w:eastAsia="zh-CN"/>
        </w:rPr>
        <w:t xml:space="preserve">            </w:t>
      </w:r>
      <w:r>
        <w:rPr>
          <w:rFonts w:hint="eastAsia"/>
          <w:sz w:val="24"/>
          <w:u w:val="single"/>
        </w:rPr>
        <w:t xml:space="preserve">         </w:t>
      </w:r>
    </w:p>
    <w:p w14:paraId="7F124498">
      <w:pPr>
        <w:spacing w:line="360" w:lineRule="auto"/>
        <w:ind w:firstLine="6780" w:firstLineChars="2825"/>
        <w:rPr>
          <w:rFonts w:hint="eastAsia"/>
          <w:sz w:val="24"/>
        </w:rPr>
      </w:pPr>
      <w:r>
        <w:rPr>
          <w:rFonts w:hint="eastAsia"/>
          <w:sz w:val="24"/>
        </w:rPr>
        <w:t>年    月     日</w:t>
      </w:r>
    </w:p>
    <w:p w14:paraId="25208766">
      <w:pPr>
        <w:jc w:val="center"/>
        <w:rPr>
          <w:rFonts w:hint="eastAsia" w:eastAsia="黑体"/>
          <w:sz w:val="24"/>
          <w:szCs w:val="24"/>
        </w:rPr>
      </w:pPr>
    </w:p>
    <w:p w14:paraId="756C6E9B">
      <w:pPr>
        <w:jc w:val="center"/>
        <w:rPr>
          <w:rFonts w:hint="eastAsia" w:eastAsia="黑体"/>
          <w:sz w:val="24"/>
          <w:szCs w:val="24"/>
        </w:rPr>
      </w:pPr>
    </w:p>
    <w:p w14:paraId="3FDCA534">
      <w:pPr>
        <w:jc w:val="center"/>
        <w:rPr>
          <w:rFonts w:hint="eastAsia" w:eastAsia="黑体"/>
          <w:sz w:val="24"/>
          <w:szCs w:val="24"/>
        </w:rPr>
      </w:pPr>
    </w:p>
    <w:p w14:paraId="7762565B">
      <w:pPr>
        <w:jc w:val="center"/>
        <w:rPr>
          <w:rFonts w:hint="eastAsia" w:eastAsia="黑体"/>
          <w:sz w:val="24"/>
          <w:szCs w:val="24"/>
        </w:rPr>
      </w:pPr>
    </w:p>
    <w:p w14:paraId="54526FDB">
      <w:pPr>
        <w:jc w:val="center"/>
        <w:rPr>
          <w:rFonts w:hint="eastAsia" w:eastAsia="黑体"/>
          <w:sz w:val="24"/>
          <w:szCs w:val="24"/>
        </w:rPr>
      </w:pPr>
    </w:p>
    <w:p w14:paraId="59587B5A">
      <w:pPr>
        <w:jc w:val="center"/>
        <w:rPr>
          <w:rFonts w:hint="eastAsia" w:eastAsia="黑体"/>
          <w:sz w:val="24"/>
          <w:szCs w:val="24"/>
        </w:rPr>
      </w:pPr>
    </w:p>
    <w:p w14:paraId="4137BAAA">
      <w:pPr>
        <w:jc w:val="center"/>
        <w:rPr>
          <w:rFonts w:hint="eastAsia" w:eastAsia="黑体"/>
          <w:sz w:val="24"/>
          <w:szCs w:val="24"/>
        </w:rPr>
      </w:pPr>
    </w:p>
    <w:p w14:paraId="7AC54441">
      <w:pPr>
        <w:jc w:val="center"/>
        <w:rPr>
          <w:rFonts w:hint="eastAsia" w:eastAsia="黑体"/>
          <w:sz w:val="24"/>
          <w:szCs w:val="24"/>
        </w:rPr>
      </w:pPr>
    </w:p>
    <w:p w14:paraId="7CB9AE5D">
      <w:pPr>
        <w:jc w:val="center"/>
        <w:rPr>
          <w:rFonts w:hint="eastAsia" w:eastAsia="黑体"/>
          <w:sz w:val="24"/>
          <w:szCs w:val="24"/>
        </w:rPr>
      </w:pPr>
    </w:p>
    <w:p w14:paraId="17BD1E13">
      <w:pPr>
        <w:jc w:val="center"/>
        <w:rPr>
          <w:rFonts w:hint="eastAsia" w:eastAsia="黑体"/>
          <w:sz w:val="24"/>
          <w:szCs w:val="24"/>
        </w:rPr>
      </w:pPr>
    </w:p>
    <w:p w14:paraId="4A22E478">
      <w:pPr>
        <w:jc w:val="center"/>
        <w:rPr>
          <w:rFonts w:hint="eastAsia" w:eastAsia="黑体"/>
          <w:sz w:val="24"/>
          <w:szCs w:val="24"/>
        </w:rPr>
      </w:pPr>
    </w:p>
    <w:p w14:paraId="455D2940">
      <w:pPr>
        <w:jc w:val="center"/>
        <w:rPr>
          <w:rFonts w:hint="eastAsia" w:eastAsia="黑体"/>
          <w:sz w:val="24"/>
          <w:szCs w:val="24"/>
        </w:rPr>
      </w:pPr>
    </w:p>
    <w:p w14:paraId="04416EF6">
      <w:pPr>
        <w:jc w:val="center"/>
        <w:rPr>
          <w:rFonts w:hint="eastAsia" w:eastAsia="黑体"/>
          <w:sz w:val="24"/>
          <w:szCs w:val="24"/>
        </w:rPr>
      </w:pPr>
    </w:p>
    <w:p w14:paraId="285A8804">
      <w:pPr>
        <w:jc w:val="center"/>
        <w:rPr>
          <w:rFonts w:hint="eastAsia" w:eastAsia="黑体"/>
          <w:sz w:val="24"/>
          <w:szCs w:val="24"/>
        </w:rPr>
      </w:pPr>
    </w:p>
    <w:p w14:paraId="631BDDB5">
      <w:pPr>
        <w:jc w:val="center"/>
        <w:rPr>
          <w:rFonts w:hint="eastAsia" w:eastAsia="黑体"/>
          <w:sz w:val="24"/>
          <w:szCs w:val="24"/>
        </w:rPr>
      </w:pPr>
    </w:p>
    <w:p w14:paraId="096D30E8">
      <w:pPr>
        <w:jc w:val="center"/>
        <w:rPr>
          <w:rFonts w:hint="eastAsia" w:eastAsia="黑体"/>
          <w:sz w:val="24"/>
          <w:szCs w:val="24"/>
        </w:rPr>
      </w:pPr>
    </w:p>
    <w:p w14:paraId="2A1198A6">
      <w:pPr>
        <w:jc w:val="center"/>
        <w:rPr>
          <w:rFonts w:hint="eastAsia" w:eastAsia="黑体"/>
          <w:sz w:val="24"/>
          <w:szCs w:val="24"/>
        </w:rPr>
      </w:pPr>
    </w:p>
    <w:p w14:paraId="61C20950">
      <w:pPr>
        <w:jc w:val="center"/>
        <w:rPr>
          <w:rFonts w:hint="eastAsia" w:eastAsia="黑体"/>
          <w:sz w:val="24"/>
          <w:szCs w:val="24"/>
        </w:rPr>
      </w:pPr>
    </w:p>
    <w:p w14:paraId="5D4C251E">
      <w:pPr>
        <w:jc w:val="center"/>
        <w:rPr>
          <w:rFonts w:hint="eastAsia" w:eastAsia="黑体"/>
          <w:sz w:val="24"/>
          <w:szCs w:val="24"/>
        </w:rPr>
      </w:pPr>
    </w:p>
    <w:p w14:paraId="0223E441">
      <w:pPr>
        <w:jc w:val="center"/>
        <w:rPr>
          <w:rFonts w:hint="eastAsia" w:eastAsia="黑体"/>
          <w:sz w:val="24"/>
          <w:szCs w:val="24"/>
        </w:rPr>
      </w:pPr>
    </w:p>
    <w:p w14:paraId="16EFD72D">
      <w:pPr>
        <w:jc w:val="center"/>
        <w:rPr>
          <w:rFonts w:hint="eastAsia" w:eastAsia="黑体"/>
          <w:sz w:val="24"/>
          <w:szCs w:val="24"/>
        </w:rPr>
      </w:pPr>
    </w:p>
    <w:p w14:paraId="282462AF">
      <w:pPr>
        <w:jc w:val="center"/>
        <w:rPr>
          <w:rFonts w:hint="eastAsia" w:eastAsia="黑体"/>
          <w:sz w:val="24"/>
          <w:szCs w:val="24"/>
        </w:rPr>
      </w:pPr>
    </w:p>
    <w:p w14:paraId="04A818FF">
      <w:pPr>
        <w:jc w:val="center"/>
        <w:rPr>
          <w:rFonts w:hint="eastAsia" w:eastAsia="黑体"/>
          <w:sz w:val="24"/>
          <w:szCs w:val="24"/>
        </w:rPr>
      </w:pPr>
    </w:p>
    <w:p w14:paraId="7985C02E">
      <w:pPr>
        <w:jc w:val="center"/>
        <w:rPr>
          <w:rFonts w:hint="eastAsia" w:eastAsia="黑体"/>
          <w:sz w:val="24"/>
          <w:szCs w:val="24"/>
        </w:rPr>
      </w:pPr>
    </w:p>
    <w:p w14:paraId="53DA56FF">
      <w:pPr>
        <w:jc w:val="center"/>
        <w:rPr>
          <w:rFonts w:ascii="宋体" w:hAnsi="宋体"/>
          <w:b/>
          <w:sz w:val="44"/>
        </w:rPr>
      </w:pPr>
    </w:p>
    <w:p w14:paraId="6EC31C70">
      <w:pPr>
        <w:rPr>
          <w:rFonts w:ascii="宋体" w:hAnsi="宋体"/>
          <w:sz w:val="44"/>
        </w:rPr>
      </w:pPr>
    </w:p>
    <w:p w14:paraId="440A8FCE">
      <w:pPr>
        <w:rPr>
          <w:rFonts w:hint="eastAsia" w:ascii="宋体" w:hAnsi="宋体"/>
          <w:b/>
          <w:sz w:val="44"/>
        </w:rPr>
      </w:pPr>
    </w:p>
    <w:p w14:paraId="054D02D0">
      <w:pPr>
        <w:rPr>
          <w:rFonts w:hint="eastAsia"/>
          <w:lang w:val="en-US" w:eastAsia="en-US"/>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4937FAAC-3298-40B4-ACBB-B5E4AA0AE01A}"/>
  </w:font>
  <w:font w:name="黑体">
    <w:panose1 w:val="02010609060101010101"/>
    <w:charset w:val="86"/>
    <w:family w:val="auto"/>
    <w:pitch w:val="default"/>
    <w:sig w:usb0="800002BF" w:usb1="38CF7CFA" w:usb2="00000016" w:usb3="00000000" w:csb0="00040001" w:csb1="00000000"/>
    <w:embedRegular r:id="rId2" w:fontKey="{A5930AF2-E848-4CFD-ABD0-A56770FF3DF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embedRegular r:id="rId3" w:fontKey="{823FD0AA-093D-4158-A574-90E4158624D7}"/>
  </w:font>
  <w:font w:name="经典美黑简">
    <w:altName w:val="宋体"/>
    <w:panose1 w:val="00000000000000000000"/>
    <w:charset w:val="86"/>
    <w:family w:val="modern"/>
    <w:pitch w:val="default"/>
    <w:sig w:usb0="00000000" w:usb1="00000000" w:usb2="0000001E" w:usb3="00000000" w:csb0="00040000" w:csb1="00000000"/>
    <w:embedRegular r:id="rId4" w:fontKey="{6D8DC177-90AF-45D7-A229-8627BD7DAC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B1219">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E21A3">
    <w:pPr>
      <w:pStyle w:val="4"/>
      <w:pBdr>
        <w:bottom w:val="single" w:color="auto" w:sz="6" w:space="0"/>
      </w:pBdr>
      <w:ind w:firstLine="1170" w:firstLineChars="650"/>
      <w:jc w:val="both"/>
      <w:rPr>
        <w:rFonts w:eastAsia="经典美黑简"/>
        <w:sz w:val="32"/>
      </w:rPr>
    </w:pPr>
    <w:r>
      <w:drawing>
        <wp:anchor distT="0" distB="0" distL="114300" distR="114300" simplePos="0" relativeHeight="251659264" behindDoc="0" locked="0" layoutInCell="1" allowOverlap="1">
          <wp:simplePos x="0" y="0"/>
          <wp:positionH relativeFrom="margin">
            <wp:posOffset>55245</wp:posOffset>
          </wp:positionH>
          <wp:positionV relativeFrom="paragraph">
            <wp:posOffset>-133985</wp:posOffset>
          </wp:positionV>
          <wp:extent cx="561975" cy="542925"/>
          <wp:effectExtent l="0" t="0" r="7620" b="190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1975" cy="542925"/>
                  </a:xfrm>
                  <a:prstGeom prst="rect">
                    <a:avLst/>
                  </a:prstGeom>
                  <a:noFill/>
                </pic:spPr>
              </pic:pic>
            </a:graphicData>
          </a:graphic>
        </wp:anchor>
      </w:drawing>
    </w:r>
    <w:r>
      <w:rPr>
        <w:rFonts w:hint="eastAsia" w:eastAsia="经典美黑简"/>
        <w:sz w:val="32"/>
      </w:rPr>
      <w:t>广州仲裁委员会</w:t>
    </w:r>
  </w:p>
  <w:p w14:paraId="5B5012AF">
    <w:pPr>
      <w:pStyle w:val="4"/>
      <w:pBdr>
        <w:bottom w:val="single" w:color="auto" w:sz="6" w:space="0"/>
      </w:pBdr>
      <w:ind w:firstLine="1054" w:firstLineChars="500"/>
      <w:jc w:val="both"/>
      <w:rPr>
        <w:b/>
        <w:bCs/>
        <w:sz w:val="21"/>
      </w:rPr>
    </w:pPr>
    <w:r>
      <w:rPr>
        <w:rFonts w:hint="eastAsia" w:eastAsia="经典美黑简"/>
        <w:b/>
        <w:bCs/>
        <w:sz w:val="21"/>
      </w:rPr>
      <w:t xml:space="preserve">Guangzhou Arbitration Commission                      </w:t>
    </w:r>
  </w:p>
  <w:p w14:paraId="2E762314">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TrueTypeFonts/>
  <w:saveSubsetFonts/>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zI1MzljODBiNDliMzEyMzFlZWNlN2EzYjU0N2YzMWEifQ=="/>
  </w:docVars>
  <w:rsids>
    <w:rsidRoot w:val="00000000"/>
    <w:rsid w:val="048F0343"/>
    <w:rsid w:val="07A3588E"/>
    <w:rsid w:val="0B3B5918"/>
    <w:rsid w:val="11A43BE2"/>
    <w:rsid w:val="210A5748"/>
    <w:rsid w:val="2A1E3894"/>
    <w:rsid w:val="307A3F09"/>
    <w:rsid w:val="368B4D3C"/>
    <w:rsid w:val="3F5B6BD8"/>
    <w:rsid w:val="3F6727CC"/>
    <w:rsid w:val="47773B70"/>
    <w:rsid w:val="4BEA4F75"/>
    <w:rsid w:val="4D7C6DF1"/>
    <w:rsid w:val="4EF9611F"/>
    <w:rsid w:val="4F1D57BE"/>
    <w:rsid w:val="520A0CA9"/>
    <w:rsid w:val="53BA0C6B"/>
    <w:rsid w:val="547B7EB8"/>
    <w:rsid w:val="583B5317"/>
    <w:rsid w:val="694F7C87"/>
    <w:rsid w:val="6B431156"/>
    <w:rsid w:val="6C951535"/>
    <w:rsid w:val="6ED30103"/>
    <w:rsid w:val="730B3B9F"/>
    <w:rsid w:val="79CB2B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宋体" w:hAnsi="宋体" w:eastAsia="宋体" w:cs="宋体"/>
      <w:sz w:val="24"/>
      <w:szCs w:val="24"/>
      <w:lang w:val="en-US" w:eastAsia="en-US" w:bidi="ar-SA"/>
    </w:r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autoRedefine/>
    <w:semiHidden/>
    <w:unhideWhenUsed/>
    <w:qFormat/>
    <w:uiPriority w:val="0"/>
    <w:tblPr>
      <w:tblCellMar>
        <w:top w:w="0" w:type="dxa"/>
        <w:left w:w="0" w:type="dxa"/>
        <w:bottom w:w="0" w:type="dxa"/>
        <w:right w:w="0" w:type="dxa"/>
      </w:tblCellMar>
    </w:tblPr>
  </w:style>
  <w:style w:type="paragraph" w:customStyle="1" w:styleId="8">
    <w:name w:val="样式1"/>
    <w:basedOn w:val="1"/>
    <w:qFormat/>
    <w:uiPriority w:val="0"/>
    <w:rPr>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1014</Words>
  <Characters>1026</Characters>
  <TotalTime>0</TotalTime>
  <ScaleCrop>false</ScaleCrop>
  <LinksUpToDate>false</LinksUpToDate>
  <CharactersWithSpaces>1366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2023-10-16T17:25:00Z</dcterms:created>
  <dc:creator>GZAC</dc:creator>
  <cp:lastModifiedBy>Yellow and blue</cp:lastModifiedBy>
  <dcterms:modified xsi:type="dcterms:W3CDTF">2026-03-05T11:44:58Z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2023-10-16T17:34:35Z</vt:filetime>
  </property>
  <property fmtid="{D5CDD505-2E9C-101B-9397-08002B2CF9AE}" pid="4" name="KSOProductBuildVer">
    <vt:lpwstr>2052-12.1.0.25225</vt:lpwstr>
  </property>
  <property fmtid="{D5CDD505-2E9C-101B-9397-08002B2CF9AE}" pid="5" name="ICV">
    <vt:lpwstr>ACBA52F2C3E44D9793F5EA4BB2C2D6C7_13</vt:lpwstr>
  </property>
  <property fmtid="{D5CDD505-2E9C-101B-9397-08002B2CF9AE}" pid="6" name="KSOTemplateDocerSaveRecord">
    <vt:lpwstr>eyJoZGlkIjoiNzI1MzljODBiNDliMzEyMzFlZWNlN2EzYjU0N2YzMWEiLCJ1c2VySWQiOiIzMTAzOTgxMzAifQ==</vt:lpwstr>
  </property>
</Properties>
</file>