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90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8"/>
        <w:gridCol w:w="144"/>
        <w:gridCol w:w="1611"/>
        <w:gridCol w:w="1305"/>
        <w:gridCol w:w="1440"/>
        <w:gridCol w:w="1260"/>
        <w:gridCol w:w="21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9084" w:type="dxa"/>
            <w:gridSpan w:val="7"/>
            <w:noWrap w:val="0"/>
            <w:vAlign w:val="center"/>
          </w:tcPr>
          <w:p>
            <w:pPr>
              <w:pStyle w:val="2"/>
              <w:numPr>
                <w:ilvl w:val="0"/>
                <w:numId w:val="0"/>
              </w:numPr>
              <w:ind w:left="0" w:leftChars="0" w:firstLine="0" w:firstLineChars="0"/>
              <w:jc w:val="center"/>
              <w:rPr>
                <w:rFonts w:hint="default" w:eastAsia="宋体"/>
                <w:sz w:val="24"/>
                <w:lang w:val="en-US" w:eastAsia="zh-CN"/>
              </w:rPr>
            </w:pPr>
            <w:r>
              <w:rPr>
                <w:rFonts w:hint="eastAsia"/>
                <w:sz w:val="24"/>
                <w:lang w:val="en-US" w:eastAsia="zh-CN"/>
              </w:rPr>
              <w:t>会议记录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7" w:hRule="atLeast"/>
        </w:trPr>
        <w:tc>
          <w:tcPr>
            <w:tcW w:w="1332" w:type="dxa"/>
            <w:gridSpan w:val="2"/>
            <w:noWrap w:val="0"/>
            <w:vAlign w:val="center"/>
          </w:tcPr>
          <w:p>
            <w:pPr>
              <w:jc w:val="center"/>
              <w:rPr>
                <w:rFonts w:hint="eastAsia"/>
                <w:b/>
                <w:sz w:val="24"/>
              </w:rPr>
            </w:pPr>
            <w:r>
              <w:rPr>
                <w:rFonts w:hint="eastAsia"/>
                <w:b/>
                <w:sz w:val="24"/>
              </w:rPr>
              <w:t>记录人</w:t>
            </w:r>
          </w:p>
        </w:tc>
        <w:tc>
          <w:tcPr>
            <w:tcW w:w="1611" w:type="dxa"/>
            <w:noWrap w:val="0"/>
            <w:vAlign w:val="center"/>
          </w:tcPr>
          <w:p>
            <w:pPr>
              <w:jc w:val="center"/>
              <w:rPr>
                <w:rFonts w:hint="eastAsia" w:eastAsia="宋体"/>
                <w:sz w:val="24"/>
                <w:lang w:val="en-US" w:eastAsia="zh-CN"/>
              </w:rPr>
            </w:pPr>
            <w:r>
              <w:rPr>
                <w:rFonts w:hint="eastAsia"/>
                <w:sz w:val="24"/>
                <w:lang w:val="en-US" w:eastAsia="zh-CN"/>
              </w:rPr>
              <w:t>肖杨</w:t>
            </w:r>
          </w:p>
        </w:tc>
        <w:tc>
          <w:tcPr>
            <w:tcW w:w="1305" w:type="dxa"/>
            <w:noWrap w:val="0"/>
            <w:vAlign w:val="center"/>
          </w:tcPr>
          <w:p>
            <w:pPr>
              <w:jc w:val="center"/>
              <w:rPr>
                <w:rFonts w:hint="eastAsia"/>
                <w:b/>
                <w:sz w:val="24"/>
              </w:rPr>
            </w:pPr>
            <w:r>
              <w:rPr>
                <w:rFonts w:hint="eastAsia"/>
                <w:b/>
                <w:sz w:val="24"/>
              </w:rPr>
              <w:t>人员编号</w:t>
            </w:r>
          </w:p>
        </w:tc>
        <w:tc>
          <w:tcPr>
            <w:tcW w:w="1440" w:type="dxa"/>
            <w:noWrap w:val="0"/>
            <w:vAlign w:val="center"/>
          </w:tcPr>
          <w:p>
            <w:pPr>
              <w:jc w:val="center"/>
              <w:rPr>
                <w:rFonts w:hint="eastAsia" w:eastAsia="宋体"/>
                <w:sz w:val="24"/>
                <w:lang w:val="en-US" w:eastAsia="zh-CN"/>
              </w:rPr>
            </w:pPr>
            <w:r>
              <w:rPr>
                <w:rFonts w:hint="eastAsia"/>
                <w:sz w:val="24"/>
                <w:lang w:val="en-US" w:eastAsia="zh-CN"/>
              </w:rPr>
              <w:t>6</w:t>
            </w:r>
          </w:p>
        </w:tc>
        <w:tc>
          <w:tcPr>
            <w:tcW w:w="1260" w:type="dxa"/>
            <w:noWrap w:val="0"/>
            <w:vAlign w:val="center"/>
          </w:tcPr>
          <w:p>
            <w:pPr>
              <w:jc w:val="center"/>
              <w:rPr>
                <w:rFonts w:hint="eastAsia"/>
                <w:b/>
                <w:sz w:val="24"/>
              </w:rPr>
            </w:pPr>
            <w:r>
              <w:rPr>
                <w:rFonts w:hint="eastAsia"/>
                <w:b/>
                <w:sz w:val="24"/>
              </w:rPr>
              <w:t>记录日期</w:t>
            </w:r>
          </w:p>
        </w:tc>
        <w:tc>
          <w:tcPr>
            <w:tcW w:w="2136" w:type="dxa"/>
            <w:noWrap w:val="0"/>
            <w:vAlign w:val="center"/>
          </w:tcPr>
          <w:p>
            <w:pPr>
              <w:jc w:val="center"/>
              <w:rPr>
                <w:rFonts w:hint="default" w:eastAsia="宋体"/>
                <w:sz w:val="24"/>
                <w:lang w:val="en-US" w:eastAsia="zh-CN"/>
              </w:rPr>
            </w:pPr>
            <w:r>
              <w:rPr>
                <w:rFonts w:hint="eastAsia"/>
                <w:sz w:val="24"/>
                <w:lang w:val="en-US" w:eastAsia="zh-CN"/>
              </w:rPr>
              <w:t>2020-4-9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0" w:hRule="atLeast"/>
        </w:trPr>
        <w:tc>
          <w:tcPr>
            <w:tcW w:w="9084" w:type="dxa"/>
            <w:gridSpan w:val="7"/>
            <w:noWrap w:val="0"/>
            <w:vAlign w:val="center"/>
          </w:tcPr>
          <w:p>
            <w:pPr>
              <w:ind w:firstLine="105" w:firstLineChars="50"/>
              <w:rPr>
                <w:rFonts w:hint="default"/>
                <w:b/>
                <w:lang w:val="en-US" w:eastAsia="zh-CN"/>
              </w:rPr>
            </w:pPr>
            <w:r>
              <w:rPr>
                <w:rFonts w:hint="eastAsia"/>
                <w:b/>
                <w:lang w:val="en-US" w:eastAsia="zh-CN"/>
              </w:rPr>
              <w:t>会议成员：肖聪，肖杨，肖杨超，陈睿，卢炎鑫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0" w:hRule="atLeast"/>
        </w:trPr>
        <w:tc>
          <w:tcPr>
            <w:tcW w:w="9084" w:type="dxa"/>
            <w:gridSpan w:val="7"/>
            <w:noWrap w:val="0"/>
            <w:vAlign w:val="center"/>
          </w:tcPr>
          <w:p>
            <w:pPr>
              <w:ind w:firstLine="105" w:firstLineChars="50"/>
              <w:rPr>
                <w:rFonts w:hint="default"/>
                <w:b/>
                <w:lang w:val="en-US" w:eastAsia="zh-CN"/>
              </w:rPr>
            </w:pPr>
            <w:r>
              <w:rPr>
                <w:rFonts w:hint="eastAsia"/>
                <w:b/>
                <w:lang w:val="en-US" w:eastAsia="zh-CN"/>
              </w:rPr>
              <w:t xml:space="preserve">未到人员：陈睿，卢炎鑫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0" w:hRule="atLeast"/>
        </w:trPr>
        <w:tc>
          <w:tcPr>
            <w:tcW w:w="9084" w:type="dxa"/>
            <w:gridSpan w:val="7"/>
            <w:noWrap w:val="0"/>
            <w:vAlign w:val="center"/>
          </w:tcPr>
          <w:p>
            <w:pPr>
              <w:ind w:firstLine="105" w:firstLineChars="50"/>
              <w:rPr>
                <w:rFonts w:hint="eastAsia"/>
                <w:b/>
              </w:rPr>
            </w:pPr>
            <w:r>
              <w:rPr>
                <w:rFonts w:hint="eastAsia"/>
                <w:b/>
                <w:lang w:val="en-US" w:eastAsia="zh-CN"/>
              </w:rPr>
              <w:t xml:space="preserve">会   议  </w:t>
            </w:r>
            <w:r>
              <w:rPr>
                <w:rFonts w:hint="eastAsia"/>
                <w:b/>
              </w:rPr>
              <w:t xml:space="preserve"> 内  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61" w:hRule="atLeast"/>
        </w:trPr>
        <w:tc>
          <w:tcPr>
            <w:tcW w:w="1188" w:type="dxa"/>
            <w:noWrap w:val="0"/>
            <w:vAlign w:val="center"/>
          </w:tcPr>
          <w:p>
            <w:pPr>
              <w:jc w:val="center"/>
              <w:rPr>
                <w:rFonts w:hint="eastAsia" w:eastAsia="宋体"/>
                <w:sz w:val="24"/>
                <w:lang w:val="en-US" w:eastAsia="zh-CN"/>
              </w:rPr>
            </w:pPr>
            <w:r>
              <w:rPr>
                <w:rFonts w:hint="eastAsia"/>
                <w:sz w:val="24"/>
                <w:lang w:val="en-US" w:eastAsia="zh-CN"/>
              </w:rPr>
              <w:t>会</w:t>
            </w:r>
          </w:p>
          <w:p>
            <w:pPr>
              <w:jc w:val="center"/>
              <w:rPr>
                <w:rFonts w:hint="eastAsia"/>
                <w:sz w:val="24"/>
              </w:rPr>
            </w:pPr>
          </w:p>
          <w:p>
            <w:pPr>
              <w:jc w:val="center"/>
              <w:rPr>
                <w:rFonts w:hint="eastAsia"/>
                <w:sz w:val="24"/>
              </w:rPr>
            </w:pPr>
          </w:p>
          <w:p>
            <w:pPr>
              <w:jc w:val="center"/>
              <w:rPr>
                <w:rFonts w:hint="default" w:eastAsia="宋体"/>
                <w:sz w:val="24"/>
                <w:lang w:val="en-US" w:eastAsia="zh-CN"/>
              </w:rPr>
            </w:pPr>
            <w:r>
              <w:rPr>
                <w:rFonts w:hint="eastAsia"/>
                <w:sz w:val="24"/>
                <w:lang w:val="en-US" w:eastAsia="zh-CN"/>
              </w:rPr>
              <w:t>议</w:t>
            </w:r>
          </w:p>
          <w:p>
            <w:pPr>
              <w:jc w:val="center"/>
              <w:rPr>
                <w:rFonts w:hint="eastAsia"/>
                <w:sz w:val="24"/>
              </w:rPr>
            </w:pPr>
          </w:p>
          <w:p>
            <w:pPr>
              <w:jc w:val="center"/>
              <w:rPr>
                <w:rFonts w:hint="eastAsia"/>
                <w:sz w:val="24"/>
              </w:rPr>
            </w:pPr>
          </w:p>
          <w:p>
            <w:pPr>
              <w:jc w:val="center"/>
              <w:rPr>
                <w:rFonts w:hint="eastAsia"/>
                <w:sz w:val="24"/>
              </w:rPr>
            </w:pPr>
            <w:r>
              <w:rPr>
                <w:rFonts w:hint="eastAsia"/>
                <w:sz w:val="24"/>
              </w:rPr>
              <w:t>记</w:t>
            </w:r>
          </w:p>
          <w:p>
            <w:pPr>
              <w:jc w:val="center"/>
              <w:rPr>
                <w:rFonts w:hint="eastAsia"/>
                <w:sz w:val="24"/>
              </w:rPr>
            </w:pPr>
          </w:p>
          <w:p>
            <w:pPr>
              <w:jc w:val="center"/>
              <w:rPr>
                <w:rFonts w:hint="eastAsia"/>
                <w:sz w:val="24"/>
              </w:rPr>
            </w:pPr>
          </w:p>
          <w:p>
            <w:pPr>
              <w:jc w:val="center"/>
              <w:rPr>
                <w:rFonts w:hint="eastAsia"/>
              </w:rPr>
            </w:pPr>
            <w:r>
              <w:rPr>
                <w:rFonts w:hint="eastAsia"/>
                <w:sz w:val="24"/>
              </w:rPr>
              <w:t>录</w:t>
            </w:r>
          </w:p>
        </w:tc>
        <w:tc>
          <w:tcPr>
            <w:tcW w:w="7896" w:type="dxa"/>
            <w:gridSpan w:val="6"/>
            <w:noWrap w:val="0"/>
            <w:vAlign w:val="top"/>
          </w:tcPr>
          <w:p>
            <w:pPr>
              <w:numPr>
                <w:ilvl w:val="0"/>
                <w:numId w:val="2"/>
              </w:numPr>
              <w:ind w:left="126" w:leftChars="0" w:firstLine="0" w:firstLineChars="0"/>
              <w:rPr>
                <w:rFonts w:hint="default"/>
                <w:color w:val="000000"/>
                <w:sz w:val="24"/>
                <w:lang w:val="en-US" w:eastAsia="zh-CN"/>
              </w:rPr>
            </w:pPr>
            <w:r>
              <w:rPr>
                <w:rFonts w:hint="eastAsia"/>
                <w:color w:val="000000"/>
                <w:sz w:val="24"/>
                <w:lang w:val="en-US" w:eastAsia="zh-CN"/>
              </w:rPr>
              <w:t>针对基础薄弱的组员采取的措施</w:t>
            </w:r>
          </w:p>
          <w:p>
            <w:pPr>
              <w:numPr>
                <w:ilvl w:val="0"/>
                <w:numId w:val="3"/>
              </w:numPr>
              <w:ind w:left="366" w:leftChars="0" w:firstLine="0" w:firstLineChars="0"/>
              <w:rPr>
                <w:rFonts w:hint="eastAsia"/>
                <w:color w:val="000000"/>
                <w:sz w:val="24"/>
                <w:lang w:val="en-US" w:eastAsia="zh-CN"/>
              </w:rPr>
            </w:pPr>
            <w:r>
              <w:rPr>
                <w:rFonts w:hint="eastAsia"/>
                <w:color w:val="000000"/>
                <w:sz w:val="24"/>
                <w:lang w:val="en-US" w:eastAsia="zh-CN"/>
              </w:rPr>
              <w:t>.要求其利用空闲时间观看上课视频，并且掌握基础技术。</w:t>
            </w:r>
          </w:p>
          <w:p>
            <w:pPr>
              <w:numPr>
                <w:ilvl w:val="0"/>
                <w:numId w:val="3"/>
              </w:numPr>
              <w:ind w:left="366" w:leftChars="0" w:firstLine="0" w:firstLineChars="0"/>
              <w:rPr>
                <w:rFonts w:hint="default"/>
                <w:color w:val="000000"/>
                <w:sz w:val="24"/>
                <w:lang w:val="en-US" w:eastAsia="zh-CN"/>
              </w:rPr>
            </w:pPr>
            <w:r>
              <w:rPr>
                <w:rFonts w:hint="eastAsia"/>
                <w:color w:val="000000"/>
                <w:sz w:val="24"/>
                <w:lang w:val="en-US" w:eastAsia="zh-CN"/>
              </w:rPr>
              <w:t>.组内其他成员要积极的进行帮助，可以利用视频会议进行辅助学习。</w:t>
            </w:r>
          </w:p>
          <w:p>
            <w:pPr>
              <w:numPr>
                <w:ilvl w:val="0"/>
                <w:numId w:val="3"/>
              </w:numPr>
              <w:ind w:left="366" w:leftChars="0" w:firstLine="0" w:firstLineChars="0"/>
              <w:rPr>
                <w:rFonts w:hint="default"/>
                <w:color w:val="000000"/>
                <w:sz w:val="24"/>
                <w:lang w:val="en-US" w:eastAsia="zh-CN"/>
              </w:rPr>
            </w:pPr>
            <w:r>
              <w:rPr>
                <w:rFonts w:hint="eastAsia"/>
                <w:color w:val="000000"/>
                <w:sz w:val="24"/>
                <w:lang w:val="en-US" w:eastAsia="zh-CN"/>
              </w:rPr>
              <w:t>.减少其在项目中的任务量，并提供一定程度的帮助。</w:t>
            </w:r>
          </w:p>
          <w:p>
            <w:pPr>
              <w:numPr>
                <w:ilvl w:val="0"/>
                <w:numId w:val="2"/>
              </w:numPr>
              <w:ind w:left="126" w:leftChars="0" w:firstLine="0" w:firstLineChars="0"/>
              <w:rPr>
                <w:rFonts w:hint="default"/>
                <w:color w:val="000000"/>
                <w:sz w:val="24"/>
                <w:lang w:val="en-US" w:eastAsia="zh-CN"/>
              </w:rPr>
            </w:pPr>
            <w:r>
              <w:rPr>
                <w:rFonts w:hint="eastAsia"/>
                <w:color w:val="000000"/>
                <w:sz w:val="24"/>
                <w:lang w:val="en-US" w:eastAsia="zh-CN"/>
              </w:rPr>
              <w:t>项目中使用何种技术</w:t>
            </w:r>
          </w:p>
          <w:p>
            <w:pPr>
              <w:numPr>
                <w:ilvl w:val="0"/>
                <w:numId w:val="4"/>
              </w:numPr>
              <w:ind w:left="366" w:leftChars="0" w:firstLine="0" w:firstLineChars="0"/>
              <w:rPr>
                <w:rFonts w:hint="default"/>
                <w:color w:val="000000"/>
                <w:sz w:val="24"/>
                <w:lang w:val="en-US" w:eastAsia="zh-CN"/>
              </w:rPr>
            </w:pPr>
            <w:r>
              <w:rPr>
                <w:rFonts w:hint="eastAsia"/>
                <w:color w:val="000000"/>
                <w:sz w:val="24"/>
                <w:lang w:val="en-US" w:eastAsia="zh-CN"/>
              </w:rPr>
              <w:t>.使用shior 做为权限管理框架。</w:t>
            </w:r>
          </w:p>
          <w:p>
            <w:pPr>
              <w:numPr>
                <w:ilvl w:val="0"/>
                <w:numId w:val="2"/>
              </w:numPr>
              <w:ind w:left="126" w:leftChars="0" w:firstLine="0" w:firstLineChars="0"/>
              <w:rPr>
                <w:rFonts w:hint="eastAsia"/>
                <w:color w:val="000000"/>
                <w:sz w:val="24"/>
                <w:lang w:val="en-US" w:eastAsia="zh-CN"/>
              </w:rPr>
            </w:pPr>
            <w:r>
              <w:rPr>
                <w:rFonts w:hint="eastAsia"/>
                <w:color w:val="000000"/>
                <w:sz w:val="24"/>
                <w:lang w:val="en-US" w:eastAsia="zh-CN"/>
              </w:rPr>
              <w:t>确定项目为物流服务。</w:t>
            </w:r>
          </w:p>
          <w:p>
            <w:pPr>
              <w:numPr>
                <w:ilvl w:val="0"/>
                <w:numId w:val="2"/>
              </w:numPr>
              <w:ind w:left="126" w:leftChars="0" w:firstLine="0" w:firstLineChars="0"/>
              <w:rPr>
                <w:rFonts w:hint="default"/>
                <w:color w:val="000000"/>
                <w:sz w:val="24"/>
                <w:lang w:val="en-US" w:eastAsia="zh-CN"/>
              </w:rPr>
            </w:pPr>
            <w:r>
              <w:rPr>
                <w:rFonts w:hint="eastAsia"/>
                <w:color w:val="000000"/>
                <w:sz w:val="24"/>
                <w:lang w:val="en-US" w:eastAsia="zh-CN"/>
              </w:rPr>
              <w:t>确定项目中成员之间的开发方式以及git分支的使用说明。</w:t>
            </w:r>
          </w:p>
          <w:p>
            <w:pPr>
              <w:numPr>
                <w:ilvl w:val="0"/>
                <w:numId w:val="2"/>
              </w:numPr>
              <w:ind w:left="126" w:leftChars="0" w:firstLine="0" w:firstLineChars="0"/>
              <w:rPr>
                <w:rFonts w:hint="default"/>
                <w:color w:val="000000"/>
                <w:sz w:val="24"/>
                <w:lang w:val="en-US" w:eastAsia="zh-CN"/>
              </w:rPr>
            </w:pPr>
            <w:r>
              <w:rPr>
                <w:rFonts w:hint="eastAsia"/>
                <w:color w:val="000000"/>
                <w:sz w:val="24"/>
                <w:lang w:val="en-US" w:eastAsia="zh-CN"/>
              </w:rPr>
              <w:t>查看文档并在下一次会议上讨论有关项目的具体需求。</w:t>
            </w:r>
          </w:p>
          <w:p>
            <w:pPr>
              <w:numPr>
                <w:ilvl w:val="0"/>
                <w:numId w:val="0"/>
              </w:numPr>
              <w:ind w:left="366" w:leftChars="0"/>
              <w:rPr>
                <w:rFonts w:hint="default"/>
                <w:color w:val="000000"/>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6" w:hRule="atLeast"/>
        </w:trPr>
        <w:tc>
          <w:tcPr>
            <w:tcW w:w="1188" w:type="dxa"/>
            <w:noWrap w:val="0"/>
            <w:vAlign w:val="center"/>
          </w:tcPr>
          <w:p>
            <w:pPr>
              <w:jc w:val="both"/>
              <w:rPr>
                <w:rFonts w:hint="default" w:eastAsia="宋体"/>
                <w:sz w:val="24"/>
                <w:lang w:val="en-US" w:eastAsia="zh-CN"/>
              </w:rPr>
            </w:pPr>
            <w:r>
              <w:rPr>
                <w:rFonts w:hint="eastAsia"/>
                <w:sz w:val="24"/>
                <w:lang w:val="en-US" w:eastAsia="zh-CN"/>
              </w:rPr>
              <w:t xml:space="preserve">   会</w:t>
            </w:r>
          </w:p>
          <w:p>
            <w:pPr>
              <w:jc w:val="center"/>
              <w:rPr>
                <w:rFonts w:hint="eastAsia"/>
                <w:sz w:val="24"/>
              </w:rPr>
            </w:pPr>
          </w:p>
          <w:p>
            <w:pPr>
              <w:jc w:val="center"/>
              <w:rPr>
                <w:rFonts w:hint="eastAsia" w:eastAsia="宋体"/>
                <w:sz w:val="24"/>
                <w:lang w:val="en-US" w:eastAsia="zh-CN"/>
              </w:rPr>
            </w:pPr>
            <w:r>
              <w:rPr>
                <w:rFonts w:hint="eastAsia"/>
                <w:sz w:val="24"/>
                <w:lang w:val="en-US" w:eastAsia="zh-CN"/>
              </w:rPr>
              <w:t>议</w:t>
            </w:r>
          </w:p>
          <w:p>
            <w:pPr>
              <w:jc w:val="center"/>
              <w:rPr>
                <w:rFonts w:hint="eastAsia"/>
                <w:sz w:val="24"/>
              </w:rPr>
            </w:pPr>
          </w:p>
          <w:p>
            <w:pPr>
              <w:jc w:val="center"/>
              <w:rPr>
                <w:rFonts w:hint="eastAsia"/>
                <w:sz w:val="24"/>
              </w:rPr>
            </w:pPr>
            <w:r>
              <w:rPr>
                <w:rFonts w:hint="eastAsia"/>
                <w:sz w:val="24"/>
              </w:rPr>
              <w:t>总</w:t>
            </w:r>
          </w:p>
          <w:p>
            <w:pPr>
              <w:jc w:val="center"/>
              <w:rPr>
                <w:rFonts w:hint="eastAsia"/>
                <w:sz w:val="24"/>
              </w:rPr>
            </w:pPr>
          </w:p>
          <w:p>
            <w:pPr>
              <w:jc w:val="center"/>
              <w:rPr>
                <w:rFonts w:hint="eastAsia"/>
              </w:rPr>
            </w:pPr>
            <w:r>
              <w:rPr>
                <w:rFonts w:hint="eastAsia"/>
                <w:sz w:val="24"/>
              </w:rPr>
              <w:t>结</w:t>
            </w:r>
          </w:p>
        </w:tc>
        <w:tc>
          <w:tcPr>
            <w:tcW w:w="7896" w:type="dxa"/>
            <w:gridSpan w:val="6"/>
            <w:noWrap w:val="0"/>
            <w:vAlign w:val="top"/>
          </w:tcPr>
          <w:p>
            <w:pPr>
              <w:tabs>
                <w:tab w:val="left" w:pos="2240"/>
              </w:tabs>
              <w:rPr>
                <w:rFonts w:hint="eastAsia"/>
                <w:lang w:val="en-US" w:eastAsia="zh-CN"/>
              </w:rPr>
            </w:pPr>
            <w:r>
              <w:rPr>
                <w:rFonts w:hint="eastAsia"/>
                <w:lang w:val="en-US" w:eastAsia="zh-CN"/>
              </w:rPr>
              <w:t xml:space="preserve">   1.要贯彻落实对于基础薄弱的组员的帮助计划，各组员之间不要推诿扯皮，要团结一致，在实行帮助的基础上应当以引导的方式使被帮助的组员形成正确的学习价值观，从而在本质上实现进步的客观事实。</w:t>
            </w:r>
          </w:p>
          <w:p>
            <w:pPr>
              <w:tabs>
                <w:tab w:val="left" w:pos="2240"/>
              </w:tabs>
              <w:rPr>
                <w:rFonts w:hint="eastAsia"/>
                <w:lang w:val="en-US" w:eastAsia="zh-CN"/>
              </w:rPr>
            </w:pPr>
            <w:r>
              <w:rPr>
                <w:rFonts w:hint="eastAsia"/>
                <w:lang w:val="en-US" w:eastAsia="zh-CN"/>
              </w:rPr>
              <w:t xml:space="preserve">   2.前期的需求分析有助于后期开发的有序进行，所以应当以最严谨的态度进行分析，最严格的规范进行论证。</w:t>
            </w:r>
            <w:bookmarkStart w:id="0" w:name="_GoBack"/>
            <w:bookmarkEnd w:id="0"/>
          </w:p>
          <w:p>
            <w:pPr>
              <w:tabs>
                <w:tab w:val="left" w:pos="2240"/>
              </w:tabs>
              <w:rPr>
                <w:rFonts w:hint="default"/>
                <w:lang w:val="en-US" w:eastAsia="zh-CN"/>
              </w:rPr>
            </w:pPr>
            <w:r>
              <w:rPr>
                <w:rFonts w:hint="eastAsia"/>
                <w:lang w:val="en-US" w:eastAsia="zh-CN"/>
              </w:rPr>
              <w:t xml:space="preserve">   3.确立以肖聪为领导的小组合作方式，以周姐的指导依据为核心开展各方面的工作，以职业人的角色按期完成本次项目。</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B705F51"/>
    <w:multiLevelType w:val="singleLevel"/>
    <w:tmpl w:val="EB705F51"/>
    <w:lvl w:ilvl="0" w:tentative="0">
      <w:start w:val="1"/>
      <w:numFmt w:val="decimal"/>
      <w:suff w:val="nothing"/>
      <w:lvlText w:val="%1）"/>
      <w:lvlJc w:val="left"/>
      <w:pPr>
        <w:ind w:left="366" w:leftChars="0" w:firstLine="0" w:firstLineChars="0"/>
      </w:pPr>
    </w:lvl>
  </w:abstractNum>
  <w:abstractNum w:abstractNumId="1">
    <w:nsid w:val="032A23AE"/>
    <w:multiLevelType w:val="multilevel"/>
    <w:tmpl w:val="032A23AE"/>
    <w:lvl w:ilvl="0" w:tentative="0">
      <w:start w:val="1"/>
      <w:numFmt w:val="decimal"/>
      <w:pStyle w:val="2"/>
      <w:lvlText w:val="%1"/>
      <w:lvlJc w:val="left"/>
      <w:pPr>
        <w:tabs>
          <w:tab w:val="left" w:pos="425"/>
        </w:tabs>
        <w:ind w:left="425" w:hanging="425"/>
      </w:pPr>
      <w:rPr>
        <w:rFonts w:hint="default" w:ascii="Arial" w:hAnsi="Arial" w:cs="Arial"/>
        <w:sz w:val="36"/>
        <w:szCs w:val="36"/>
      </w:rPr>
    </w:lvl>
    <w:lvl w:ilvl="1" w:tentative="0">
      <w:start w:val="1"/>
      <w:numFmt w:val="decimal"/>
      <w:lvlText w:val="%1.%2 "/>
      <w:lvlJc w:val="left"/>
      <w:pPr>
        <w:tabs>
          <w:tab w:val="left" w:pos="567"/>
        </w:tabs>
        <w:ind w:left="567" w:hanging="567"/>
      </w:pPr>
      <w:rPr>
        <w:rFonts w:hint="default" w:ascii="Arial" w:hAnsi="Arial" w:cs="Arial"/>
        <w:b/>
        <w:sz w:val="24"/>
        <w:szCs w:val="24"/>
      </w:rPr>
    </w:lvl>
    <w:lvl w:ilvl="2" w:tentative="0">
      <w:start w:val="1"/>
      <w:numFmt w:val="decimal"/>
      <w:lvlText w:val="%1.%2.%3 "/>
      <w:lvlJc w:val="left"/>
      <w:pPr>
        <w:tabs>
          <w:tab w:val="left" w:pos="709"/>
        </w:tabs>
        <w:ind w:left="709" w:hanging="709"/>
      </w:pPr>
      <w:rPr>
        <w:rFonts w:hint="default" w:ascii="Arial" w:hAnsi="Arial" w:cs="Arial"/>
      </w:rPr>
    </w:lvl>
    <w:lvl w:ilvl="3" w:tentative="0">
      <w:start w:val="1"/>
      <w:numFmt w:val="decimal"/>
      <w:lvlText w:val="%1.%2.%3.%4 "/>
      <w:lvlJc w:val="left"/>
      <w:pPr>
        <w:tabs>
          <w:tab w:val="left" w:pos="851"/>
        </w:tabs>
        <w:ind w:left="851" w:hanging="851"/>
      </w:pPr>
      <w:rPr>
        <w:rFonts w:hint="eastAsia"/>
      </w:rPr>
    </w:lvl>
    <w:lvl w:ilvl="4" w:tentative="0">
      <w:start w:val="1"/>
      <w:numFmt w:val="decimal"/>
      <w:lvlText w:val="%1.%2.%3.%4.%5 "/>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2">
    <w:nsid w:val="2101B14A"/>
    <w:multiLevelType w:val="singleLevel"/>
    <w:tmpl w:val="2101B14A"/>
    <w:lvl w:ilvl="0" w:tentative="0">
      <w:start w:val="1"/>
      <w:numFmt w:val="decimal"/>
      <w:lvlText w:val="%1."/>
      <w:lvlJc w:val="left"/>
      <w:pPr>
        <w:tabs>
          <w:tab w:val="left" w:pos="312"/>
        </w:tabs>
        <w:ind w:left="126" w:firstLine="0"/>
      </w:pPr>
    </w:lvl>
  </w:abstractNum>
  <w:abstractNum w:abstractNumId="3">
    <w:nsid w:val="32443D62"/>
    <w:multiLevelType w:val="singleLevel"/>
    <w:tmpl w:val="32443D62"/>
    <w:lvl w:ilvl="0" w:tentative="0">
      <w:start w:val="1"/>
      <w:numFmt w:val="decimal"/>
      <w:suff w:val="space"/>
      <w:lvlText w:val="%1)"/>
      <w:lvlJc w:val="left"/>
      <w:pPr>
        <w:ind w:left="366" w:leftChars="0" w:firstLine="0" w:firstLineChars="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E64E30"/>
    <w:rsid w:val="19461D91"/>
    <w:rsid w:val="3F5B7BC4"/>
    <w:rsid w:val="67E64E30"/>
    <w:rsid w:val="7DBF54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numPr>
        <w:ilvl w:val="0"/>
        <w:numId w:val="1"/>
      </w:numPr>
      <w:spacing w:before="175" w:beforeLines="50" w:after="175" w:afterLines="50"/>
      <w:jc w:val="left"/>
      <w:outlineLvl w:val="0"/>
    </w:pPr>
    <w:rPr>
      <w:b/>
      <w:sz w:val="28"/>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2020-04-09T13:11:00Z</dcterms:created>
  <dc:creator>表</dc:creator>
  <cp:lastModifiedBy>pc</cp:lastModifiedBy>
  <dcterms:modified xsi:type="dcterms:W3CDTF">2020-04-09T13:24:32Z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