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3C00D">
      <w:pPr>
        <w:pStyle w:val="2"/>
        <w:spacing w:before="90" w:line="226" w:lineRule="auto"/>
        <w:ind w:left="2220"/>
        <w:rPr>
          <w:sz w:val="43"/>
          <w:szCs w:val="43"/>
        </w:rPr>
      </w:pPr>
      <w:r>
        <w:rPr>
          <w:b/>
          <w:bCs/>
          <w:spacing w:val="2"/>
          <w:sz w:val="43"/>
          <w:szCs w:val="43"/>
        </w:rPr>
        <w:t>北京智深律师事务所</w:t>
      </w:r>
    </w:p>
    <w:p w14:paraId="0F479D96">
      <w:pPr>
        <w:pStyle w:val="2"/>
        <w:spacing w:before="212" w:line="226" w:lineRule="auto"/>
        <w:ind w:left="1265"/>
        <w:rPr>
          <w:sz w:val="43"/>
          <w:szCs w:val="43"/>
        </w:rPr>
      </w:pPr>
      <w:r>
        <w:rPr>
          <w:b/>
          <w:bCs/>
          <w:sz w:val="43"/>
          <w:szCs w:val="43"/>
        </w:rPr>
        <w:t>律师服务收费标准（202</w:t>
      </w:r>
      <w:r>
        <w:rPr>
          <w:rFonts w:hint="eastAsia"/>
          <w:b/>
          <w:bCs/>
          <w:sz w:val="43"/>
          <w:szCs w:val="43"/>
          <w:lang w:val="en-US" w:eastAsia="zh-CN"/>
        </w:rPr>
        <w:t>5</w:t>
      </w:r>
      <w:r>
        <w:rPr>
          <w:spacing w:val="-60"/>
          <w:sz w:val="43"/>
          <w:szCs w:val="43"/>
        </w:rPr>
        <w:t xml:space="preserve"> </w:t>
      </w:r>
      <w:r>
        <w:rPr>
          <w:b/>
          <w:bCs/>
          <w:sz w:val="43"/>
          <w:szCs w:val="43"/>
        </w:rPr>
        <w:t>年）</w:t>
      </w:r>
    </w:p>
    <w:p w14:paraId="2C3CA324">
      <w:pPr>
        <w:spacing w:line="268" w:lineRule="auto"/>
        <w:rPr>
          <w:rFonts w:ascii="Arial"/>
          <w:sz w:val="21"/>
        </w:rPr>
      </w:pPr>
    </w:p>
    <w:p w14:paraId="4BEA3A81">
      <w:pPr>
        <w:spacing w:line="269" w:lineRule="auto"/>
        <w:rPr>
          <w:rFonts w:ascii="Arial"/>
          <w:sz w:val="21"/>
        </w:rPr>
      </w:pPr>
    </w:p>
    <w:p w14:paraId="4CAFA3A4">
      <w:pPr>
        <w:spacing w:line="269" w:lineRule="auto"/>
        <w:rPr>
          <w:rFonts w:ascii="Arial"/>
          <w:sz w:val="21"/>
        </w:rPr>
      </w:pPr>
    </w:p>
    <w:p w14:paraId="47B354DF">
      <w:pPr>
        <w:pStyle w:val="2"/>
        <w:spacing w:before="114" w:line="228" w:lineRule="auto"/>
        <w:ind w:left="1666"/>
        <w:outlineLvl w:val="0"/>
        <w:rPr>
          <w:sz w:val="35"/>
          <w:szCs w:val="35"/>
        </w:rPr>
      </w:pPr>
      <w:r>
        <w:rPr>
          <w:b/>
          <w:bCs/>
          <w:spacing w:val="5"/>
          <w:sz w:val="35"/>
          <w:szCs w:val="35"/>
        </w:rPr>
        <w:t>一、律师服务收费的要素和原则</w:t>
      </w:r>
    </w:p>
    <w:p w14:paraId="6C240451">
      <w:pPr>
        <w:spacing w:line="371" w:lineRule="auto"/>
        <w:rPr>
          <w:rFonts w:ascii="Arial"/>
          <w:sz w:val="21"/>
        </w:rPr>
      </w:pPr>
    </w:p>
    <w:p w14:paraId="43042778">
      <w:pPr>
        <w:pStyle w:val="2"/>
        <w:spacing w:before="101" w:line="228" w:lineRule="auto"/>
        <w:ind w:left="39"/>
        <w:outlineLvl w:val="0"/>
        <w:rPr>
          <w:sz w:val="31"/>
          <w:szCs w:val="31"/>
        </w:rPr>
      </w:pPr>
      <w:r>
        <w:rPr>
          <w:b/>
          <w:bCs/>
          <w:spacing w:val="5"/>
          <w:sz w:val="31"/>
          <w:szCs w:val="31"/>
        </w:rPr>
        <w:t>（一）确定律师费的要素</w:t>
      </w:r>
    </w:p>
    <w:p w14:paraId="79146236">
      <w:pPr>
        <w:spacing w:line="382" w:lineRule="auto"/>
        <w:rPr>
          <w:rFonts w:ascii="Arial"/>
          <w:sz w:val="21"/>
        </w:rPr>
      </w:pPr>
    </w:p>
    <w:p w14:paraId="678D6EAF">
      <w:pPr>
        <w:pStyle w:val="2"/>
        <w:spacing w:before="91" w:line="223" w:lineRule="auto"/>
        <w:ind w:left="603"/>
      </w:pPr>
      <w:r>
        <w:rPr>
          <w:spacing w:val="-3"/>
        </w:rPr>
        <w:t>1、法律事务的难易程度；</w:t>
      </w:r>
    </w:p>
    <w:p w14:paraId="2BE9F12F">
      <w:pPr>
        <w:pStyle w:val="2"/>
        <w:spacing w:before="122" w:line="221" w:lineRule="auto"/>
        <w:ind w:left="586"/>
      </w:pPr>
      <w:r>
        <w:rPr>
          <w:spacing w:val="-1"/>
        </w:rPr>
        <w:t>2、律师付出的工作时间和精力；</w:t>
      </w:r>
    </w:p>
    <w:p w14:paraId="16EA0FA0">
      <w:pPr>
        <w:pStyle w:val="2"/>
        <w:spacing w:before="123" w:line="221" w:lineRule="auto"/>
        <w:ind w:left="588"/>
      </w:pPr>
      <w:r>
        <w:rPr>
          <w:spacing w:val="-1"/>
        </w:rPr>
        <w:t>3、律师的社会信誉和工作能力等；</w:t>
      </w:r>
    </w:p>
    <w:p w14:paraId="30754BF2">
      <w:pPr>
        <w:pStyle w:val="2"/>
        <w:spacing w:before="126" w:line="222" w:lineRule="auto"/>
        <w:ind w:left="581"/>
      </w:pPr>
      <w:r>
        <w:rPr>
          <w:spacing w:val="-1"/>
        </w:rPr>
        <w:t>4、律师可能承担的风险和责任；</w:t>
      </w:r>
    </w:p>
    <w:p w14:paraId="6460B5E5">
      <w:pPr>
        <w:pStyle w:val="2"/>
        <w:spacing w:before="124" w:line="223" w:lineRule="auto"/>
        <w:ind w:left="588"/>
      </w:pPr>
      <w:r>
        <w:rPr>
          <w:spacing w:val="-1"/>
        </w:rPr>
        <w:t>5、律师服务取得的积极成果；</w:t>
      </w:r>
    </w:p>
    <w:p w14:paraId="3ACE2C5D">
      <w:pPr>
        <w:pStyle w:val="2"/>
        <w:spacing w:before="119" w:line="222" w:lineRule="auto"/>
        <w:ind w:left="585"/>
      </w:pPr>
      <w:r>
        <w:rPr>
          <w:spacing w:val="-1"/>
        </w:rPr>
        <w:t>6、委托人的经济承受能力；</w:t>
      </w:r>
    </w:p>
    <w:p w14:paraId="4D475BEB">
      <w:pPr>
        <w:pStyle w:val="2"/>
        <w:spacing w:before="126" w:line="222" w:lineRule="auto"/>
        <w:ind w:left="589"/>
      </w:pPr>
      <w:r>
        <w:rPr>
          <w:spacing w:val="-3"/>
        </w:rPr>
        <w:t>7、其他。</w:t>
      </w:r>
    </w:p>
    <w:p w14:paraId="7FE9A7D1">
      <w:pPr>
        <w:spacing w:line="307" w:lineRule="auto"/>
        <w:rPr>
          <w:rFonts w:ascii="Arial"/>
          <w:sz w:val="21"/>
        </w:rPr>
      </w:pPr>
    </w:p>
    <w:p w14:paraId="611155D0">
      <w:pPr>
        <w:pStyle w:val="2"/>
        <w:spacing w:before="101" w:line="228" w:lineRule="auto"/>
        <w:ind w:left="39"/>
        <w:outlineLvl w:val="0"/>
        <w:rPr>
          <w:sz w:val="31"/>
          <w:szCs w:val="31"/>
        </w:rPr>
      </w:pPr>
      <w:r>
        <w:rPr>
          <w:b/>
          <w:bCs/>
          <w:spacing w:val="5"/>
          <w:sz w:val="31"/>
          <w:szCs w:val="31"/>
        </w:rPr>
        <w:t>（二）确定律师费的原则</w:t>
      </w:r>
    </w:p>
    <w:p w14:paraId="5E11FDE5">
      <w:pPr>
        <w:spacing w:line="378" w:lineRule="auto"/>
        <w:rPr>
          <w:rFonts w:ascii="Arial"/>
          <w:sz w:val="21"/>
        </w:rPr>
      </w:pPr>
    </w:p>
    <w:p w14:paraId="5CD4D222">
      <w:pPr>
        <w:pStyle w:val="2"/>
        <w:spacing w:before="91" w:line="277" w:lineRule="auto"/>
        <w:ind w:left="34" w:right="80" w:firstLine="569"/>
      </w:pPr>
      <w:r>
        <w:t>1、对于法律关系复杂、律师办案时间或律师人数可能明显多于</w:t>
      </w:r>
      <w:r>
        <w:rPr>
          <w:spacing w:val="15"/>
        </w:rPr>
        <w:t xml:space="preserve"> </w:t>
      </w:r>
      <w:r>
        <w:rPr>
          <w:spacing w:val="-4"/>
        </w:rPr>
        <w:t>其他案件、涉及疑难专业问题、对律师专业水平要求明显较高、重大</w:t>
      </w:r>
      <w:r>
        <w:rPr>
          <w:spacing w:val="4"/>
        </w:rPr>
        <w:t xml:space="preserve"> </w:t>
      </w:r>
      <w:r>
        <w:rPr>
          <w:spacing w:val="-1"/>
        </w:rPr>
        <w:t>涉外案件或有重大社会影响的案件，应当按较高标准收费；</w:t>
      </w:r>
    </w:p>
    <w:p w14:paraId="3D179724">
      <w:pPr>
        <w:pStyle w:val="2"/>
        <w:spacing w:before="122" w:line="263" w:lineRule="auto"/>
        <w:ind w:left="37" w:right="139" w:firstLine="549"/>
      </w:pPr>
      <w:r>
        <w:rPr>
          <w:spacing w:val="-1"/>
        </w:rPr>
        <w:t>2、对于达不到上一条的复杂、困难程度，但较难办理的案件，</w:t>
      </w:r>
      <w:r>
        <w:rPr>
          <w:spacing w:val="2"/>
        </w:rPr>
        <w:t xml:space="preserve"> </w:t>
      </w:r>
      <w:r>
        <w:rPr>
          <w:spacing w:val="-2"/>
        </w:rPr>
        <w:t>一般采取中间标准收取费用；</w:t>
      </w:r>
    </w:p>
    <w:p w14:paraId="51280B57">
      <w:pPr>
        <w:pStyle w:val="2"/>
        <w:spacing w:before="124" w:line="262" w:lineRule="auto"/>
        <w:ind w:left="32" w:firstLine="556"/>
      </w:pPr>
      <w:r>
        <w:rPr>
          <w:spacing w:val="-6"/>
        </w:rPr>
        <w:t>3、对于低保户或困难户涉诉案件以及赡养费、抚养费等类案件，</w:t>
      </w:r>
      <w:r>
        <w:rPr>
          <w:spacing w:val="5"/>
        </w:rPr>
        <w:t xml:space="preserve"> </w:t>
      </w:r>
      <w:r>
        <w:rPr>
          <w:spacing w:val="-2"/>
        </w:rPr>
        <w:t>应当按较低标准收费；</w:t>
      </w:r>
    </w:p>
    <w:p w14:paraId="4D4FA5EF">
      <w:pPr>
        <w:pStyle w:val="2"/>
        <w:spacing w:before="125" w:line="263" w:lineRule="auto"/>
        <w:ind w:left="36" w:right="80" w:firstLine="545"/>
      </w:pPr>
      <w:r>
        <w:rPr>
          <w:spacing w:val="1"/>
        </w:rPr>
        <w:t>4、低于收费标准收费必须经本律师事务所管理主任或合伙人特</w:t>
      </w:r>
      <w:r>
        <w:rPr>
          <w:spacing w:val="9"/>
        </w:rPr>
        <w:t xml:space="preserve"> </w:t>
      </w:r>
      <w:r>
        <w:rPr>
          <w:spacing w:val="-6"/>
        </w:rPr>
        <w:t>别批准。</w:t>
      </w:r>
    </w:p>
    <w:p w14:paraId="172521A8">
      <w:pPr>
        <w:spacing w:line="263" w:lineRule="auto"/>
        <w:sectPr>
          <w:footerReference r:id="rId5" w:type="default"/>
          <w:pgSz w:w="11906" w:h="16839"/>
          <w:pgMar w:top="921" w:right="1718" w:bottom="959" w:left="1785" w:header="0" w:footer="745" w:gutter="0"/>
          <w:cols w:space="720" w:num="1"/>
        </w:sectPr>
      </w:pPr>
    </w:p>
    <w:p w14:paraId="7058BA00">
      <w:pPr>
        <w:pStyle w:val="2"/>
        <w:spacing w:before="73" w:line="228" w:lineRule="auto"/>
        <w:ind w:left="2214"/>
        <w:outlineLvl w:val="0"/>
        <w:rPr>
          <w:sz w:val="35"/>
          <w:szCs w:val="35"/>
        </w:rPr>
      </w:pPr>
      <w:r>
        <w:rPr>
          <w:b/>
          <w:bCs/>
          <w:spacing w:val="4"/>
          <w:sz w:val="35"/>
          <w:szCs w:val="35"/>
        </w:rPr>
        <w:t>二、律师服务费收费标准</w:t>
      </w:r>
    </w:p>
    <w:p w14:paraId="2727BB21">
      <w:pPr>
        <w:spacing w:line="371" w:lineRule="auto"/>
        <w:rPr>
          <w:rFonts w:ascii="Arial"/>
          <w:sz w:val="21"/>
        </w:rPr>
      </w:pPr>
    </w:p>
    <w:p w14:paraId="7BCF1B94">
      <w:pPr>
        <w:pStyle w:val="2"/>
        <w:spacing w:before="101" w:line="228" w:lineRule="auto"/>
        <w:ind w:left="39"/>
        <w:outlineLvl w:val="0"/>
        <w:rPr>
          <w:sz w:val="31"/>
          <w:szCs w:val="31"/>
        </w:rPr>
      </w:pPr>
      <w:r>
        <w:rPr>
          <w:b/>
          <w:bCs/>
          <w:spacing w:val="5"/>
          <w:sz w:val="31"/>
          <w:szCs w:val="31"/>
        </w:rPr>
        <w:t>（一）诉讼案件收费标准</w:t>
      </w:r>
    </w:p>
    <w:p w14:paraId="1E6E258F">
      <w:pPr>
        <w:spacing w:line="360" w:lineRule="auto"/>
        <w:rPr>
          <w:rFonts w:ascii="Arial"/>
          <w:sz w:val="21"/>
        </w:rPr>
      </w:pPr>
    </w:p>
    <w:p w14:paraId="70035F08">
      <w:pPr>
        <w:pStyle w:val="2"/>
        <w:spacing w:before="97" w:line="222" w:lineRule="auto"/>
        <w:ind w:left="646"/>
        <w:rPr>
          <w:sz w:val="30"/>
          <w:szCs w:val="30"/>
        </w:rPr>
      </w:pPr>
      <w:r>
        <w:rPr>
          <w:b/>
          <w:bCs/>
          <w:spacing w:val="-6"/>
          <w:sz w:val="30"/>
          <w:szCs w:val="30"/>
        </w:rPr>
        <w:t>1、刑事案件收费标准</w:t>
      </w:r>
    </w:p>
    <w:p w14:paraId="43F7BE51">
      <w:pPr>
        <w:pStyle w:val="2"/>
        <w:spacing w:before="115" w:line="221" w:lineRule="auto"/>
        <w:ind w:left="592"/>
      </w:pPr>
      <w:r>
        <w:rPr>
          <w:b/>
          <w:bCs/>
          <w:spacing w:val="-3"/>
        </w:rPr>
        <w:t>（1）侦查阶段(含检察院自侦)收费标准：</w:t>
      </w:r>
      <w:r>
        <w:rPr>
          <w:spacing w:val="-3"/>
        </w:rPr>
        <w:t>2</w:t>
      </w:r>
      <w:r>
        <w:rPr>
          <w:spacing w:val="-48"/>
        </w:rPr>
        <w:t xml:space="preserve"> </w:t>
      </w:r>
      <w:r>
        <w:rPr>
          <w:spacing w:val="-3"/>
        </w:rPr>
        <w:t>万元</w:t>
      </w:r>
      <w:r>
        <w:rPr>
          <w:spacing w:val="-4"/>
        </w:rPr>
        <w:t>－100</w:t>
      </w:r>
      <w:r>
        <w:rPr>
          <w:spacing w:val="-51"/>
        </w:rPr>
        <w:t xml:space="preserve"> </w:t>
      </w:r>
      <w:r>
        <w:rPr>
          <w:spacing w:val="-4"/>
        </w:rPr>
        <w:t>万元。</w:t>
      </w:r>
    </w:p>
    <w:p w14:paraId="61626068">
      <w:pPr>
        <w:pStyle w:val="2"/>
        <w:spacing w:before="123" w:line="222" w:lineRule="auto"/>
        <w:ind w:left="592"/>
      </w:pPr>
      <w:r>
        <w:rPr>
          <w:b/>
          <w:bCs/>
          <w:spacing w:val="-4"/>
        </w:rPr>
        <w:t>（2）审查起诉阶段收费标准：</w:t>
      </w:r>
      <w:r>
        <w:rPr>
          <w:spacing w:val="-4"/>
        </w:rPr>
        <w:t>2</w:t>
      </w:r>
      <w:r>
        <w:rPr>
          <w:spacing w:val="-38"/>
        </w:rPr>
        <w:t xml:space="preserve"> </w:t>
      </w:r>
      <w:r>
        <w:rPr>
          <w:spacing w:val="-4"/>
        </w:rPr>
        <w:t>万元－100</w:t>
      </w:r>
      <w:r>
        <w:rPr>
          <w:spacing w:val="-51"/>
        </w:rPr>
        <w:t xml:space="preserve"> </w:t>
      </w:r>
      <w:r>
        <w:rPr>
          <w:spacing w:val="-4"/>
        </w:rPr>
        <w:t>万元。</w:t>
      </w:r>
    </w:p>
    <w:p w14:paraId="626D3E4E">
      <w:pPr>
        <w:pStyle w:val="2"/>
        <w:spacing w:before="124" w:line="222" w:lineRule="auto"/>
        <w:ind w:left="592"/>
      </w:pPr>
      <w:r>
        <w:rPr>
          <w:b/>
          <w:bCs/>
          <w:spacing w:val="-4"/>
        </w:rPr>
        <w:t>（3）一审审判阶段收费标准：</w:t>
      </w:r>
      <w:r>
        <w:rPr>
          <w:spacing w:val="-4"/>
        </w:rPr>
        <w:t>2</w:t>
      </w:r>
      <w:r>
        <w:rPr>
          <w:spacing w:val="-38"/>
        </w:rPr>
        <w:t xml:space="preserve"> </w:t>
      </w:r>
      <w:r>
        <w:rPr>
          <w:spacing w:val="-4"/>
        </w:rPr>
        <w:t>万元－100</w:t>
      </w:r>
      <w:r>
        <w:rPr>
          <w:spacing w:val="-51"/>
        </w:rPr>
        <w:t xml:space="preserve"> </w:t>
      </w:r>
      <w:r>
        <w:rPr>
          <w:spacing w:val="-4"/>
        </w:rPr>
        <w:t>万元。</w:t>
      </w:r>
    </w:p>
    <w:p w14:paraId="586612C2">
      <w:pPr>
        <w:pStyle w:val="2"/>
        <w:spacing w:before="123" w:line="263" w:lineRule="auto"/>
        <w:ind w:left="32" w:right="222" w:firstLine="831"/>
      </w:pPr>
      <w:r>
        <w:rPr>
          <w:spacing w:val="-1"/>
        </w:rPr>
        <w:t>①代理刑事自诉、附带民事诉讼阶段(案件复杂程度、</w:t>
      </w:r>
      <w:r>
        <w:rPr>
          <w:spacing w:val="-78"/>
        </w:rPr>
        <w:t xml:space="preserve"> </w:t>
      </w:r>
      <w:r>
        <w:rPr>
          <w:spacing w:val="-1"/>
        </w:rPr>
        <w:t>民事诉</w:t>
      </w:r>
      <w:r>
        <w:t xml:space="preserve"> </w:t>
      </w:r>
      <w:r>
        <w:rPr>
          <w:spacing w:val="-4"/>
        </w:rPr>
        <w:t>讼标的等)：2</w:t>
      </w:r>
      <w:r>
        <w:rPr>
          <w:spacing w:val="-47"/>
        </w:rPr>
        <w:t xml:space="preserve"> </w:t>
      </w:r>
      <w:r>
        <w:rPr>
          <w:spacing w:val="-4"/>
        </w:rPr>
        <w:t>万元－40</w:t>
      </w:r>
      <w:r>
        <w:rPr>
          <w:spacing w:val="-51"/>
        </w:rPr>
        <w:t xml:space="preserve"> </w:t>
      </w:r>
      <w:r>
        <w:rPr>
          <w:spacing w:val="-4"/>
        </w:rPr>
        <w:t>万元。</w:t>
      </w:r>
    </w:p>
    <w:p w14:paraId="5A3FE256">
      <w:pPr>
        <w:pStyle w:val="2"/>
        <w:spacing w:before="123" w:line="263" w:lineRule="auto"/>
        <w:ind w:left="38" w:firstLine="824"/>
      </w:pPr>
      <w:r>
        <w:rPr>
          <w:spacing w:val="-6"/>
        </w:rPr>
        <w:t>②涉及危害国家安全罪、涉黑涉毒犯罪以及其他重大疑难案件，</w:t>
      </w:r>
      <w:r>
        <w:rPr>
          <w:spacing w:val="6"/>
        </w:rPr>
        <w:t xml:space="preserve"> </w:t>
      </w:r>
      <w:r>
        <w:rPr>
          <w:spacing w:val="1"/>
        </w:rPr>
        <w:t>代理费按上述标准的2</w:t>
      </w:r>
      <w:r>
        <w:rPr>
          <w:spacing w:val="-39"/>
        </w:rPr>
        <w:t xml:space="preserve"> </w:t>
      </w:r>
      <w:r>
        <w:rPr>
          <w:spacing w:val="1"/>
        </w:rPr>
        <w:t>倍收取。</w:t>
      </w:r>
    </w:p>
    <w:p w14:paraId="35F64042">
      <w:pPr>
        <w:pStyle w:val="2"/>
        <w:spacing w:before="121" w:line="222" w:lineRule="auto"/>
        <w:ind w:left="592"/>
      </w:pPr>
      <w:r>
        <w:rPr>
          <w:b/>
          <w:bCs/>
          <w:spacing w:val="-4"/>
        </w:rPr>
        <w:t>（4）二审阶段收费标准：</w:t>
      </w:r>
    </w:p>
    <w:p w14:paraId="066553B5">
      <w:pPr>
        <w:pStyle w:val="2"/>
        <w:spacing w:before="124" w:line="222" w:lineRule="auto"/>
        <w:ind w:left="863"/>
      </w:pPr>
      <w:r>
        <w:rPr>
          <w:spacing w:val="-1"/>
        </w:rPr>
        <w:t>①未代理一审阶段的案件，二审代理费按一审标准收取。</w:t>
      </w:r>
    </w:p>
    <w:p w14:paraId="209E2D53">
      <w:pPr>
        <w:pStyle w:val="2"/>
        <w:spacing w:before="124" w:line="222" w:lineRule="auto"/>
        <w:ind w:left="862"/>
      </w:pPr>
      <w:r>
        <w:rPr>
          <w:spacing w:val="-6"/>
        </w:rPr>
        <w:t>②曾代理一审阶段的案件，二审代理费按一审收费的</w:t>
      </w:r>
      <w:r>
        <w:rPr>
          <w:spacing w:val="-69"/>
        </w:rPr>
        <w:t xml:space="preserve"> </w:t>
      </w:r>
      <w:r>
        <w:rPr>
          <w:spacing w:val="-6"/>
        </w:rPr>
        <w:t>80%收取。</w:t>
      </w:r>
    </w:p>
    <w:p w14:paraId="6F6E5018">
      <w:pPr>
        <w:pStyle w:val="2"/>
        <w:spacing w:before="122" w:line="222" w:lineRule="auto"/>
        <w:ind w:left="592"/>
      </w:pPr>
      <w:r>
        <w:rPr>
          <w:b/>
          <w:bCs/>
          <w:spacing w:val="-4"/>
        </w:rPr>
        <w:t>（5）发回重审阶段收费标准：</w:t>
      </w:r>
    </w:p>
    <w:p w14:paraId="0BFE237C">
      <w:pPr>
        <w:pStyle w:val="2"/>
        <w:spacing w:before="125" w:line="263" w:lineRule="auto"/>
        <w:ind w:left="33" w:right="222" w:firstLine="830"/>
      </w:pPr>
      <w:r>
        <w:rPr>
          <w:spacing w:val="6"/>
        </w:rPr>
        <w:t>①曾代理一审/二审阶段的案件，代理费按一审收费的80%收</w:t>
      </w:r>
      <w:r>
        <w:rPr>
          <w:spacing w:val="7"/>
        </w:rPr>
        <w:t xml:space="preserve"> </w:t>
      </w:r>
      <w:r>
        <w:rPr>
          <w:spacing w:val="-10"/>
        </w:rPr>
        <w:t>取。</w:t>
      </w:r>
    </w:p>
    <w:p w14:paraId="5DE1F489">
      <w:pPr>
        <w:pStyle w:val="2"/>
        <w:spacing w:before="120" w:line="222" w:lineRule="auto"/>
        <w:ind w:left="862"/>
      </w:pPr>
      <w:r>
        <w:rPr>
          <w:spacing w:val="-4"/>
        </w:rPr>
        <w:t>②未代理一审/二审阶段的案件，代理费按一审收费标准收取。</w:t>
      </w:r>
    </w:p>
    <w:p w14:paraId="7BDCB9C7">
      <w:pPr>
        <w:pStyle w:val="2"/>
        <w:spacing w:before="125" w:line="222" w:lineRule="auto"/>
        <w:ind w:left="592"/>
      </w:pPr>
      <w:r>
        <w:rPr>
          <w:b/>
          <w:bCs/>
          <w:spacing w:val="-4"/>
        </w:rPr>
        <w:t>（6）再审（申诉）阶段收费标准：</w:t>
      </w:r>
    </w:p>
    <w:p w14:paraId="5DCE5FEB">
      <w:pPr>
        <w:pStyle w:val="2"/>
        <w:spacing w:before="122" w:line="263" w:lineRule="auto"/>
        <w:ind w:left="37" w:right="222" w:firstLine="826"/>
      </w:pPr>
      <w:r>
        <w:rPr>
          <w:spacing w:val="1"/>
        </w:rPr>
        <w:t>①未代理一审/二审而单独代理再审(申诉)的案件，代理费按</w:t>
      </w:r>
      <w:r>
        <w:rPr>
          <w:spacing w:val="7"/>
        </w:rPr>
        <w:t xml:space="preserve"> </w:t>
      </w:r>
      <w:r>
        <w:rPr>
          <w:spacing w:val="-4"/>
        </w:rPr>
        <w:t>一审标准收取。</w:t>
      </w:r>
    </w:p>
    <w:p w14:paraId="24BB2AE7">
      <w:pPr>
        <w:pStyle w:val="2"/>
        <w:spacing w:before="124" w:line="263" w:lineRule="auto"/>
        <w:ind w:left="48" w:right="220" w:firstLine="814"/>
      </w:pPr>
      <w:r>
        <w:rPr>
          <w:spacing w:val="6"/>
        </w:rPr>
        <w:t>②曾代理一审/二审的案件，代理费按一审或二审收费的80%</w:t>
      </w:r>
      <w:r>
        <w:rPr>
          <w:spacing w:val="9"/>
        </w:rPr>
        <w:t xml:space="preserve"> </w:t>
      </w:r>
      <w:r>
        <w:rPr>
          <w:spacing w:val="-11"/>
        </w:rPr>
        <w:t>收取。</w:t>
      </w:r>
    </w:p>
    <w:p w14:paraId="1A3E43C9">
      <w:pPr>
        <w:pStyle w:val="2"/>
        <w:spacing w:before="121" w:line="263" w:lineRule="auto"/>
        <w:ind w:left="32" w:right="166" w:firstLine="559"/>
      </w:pPr>
      <w:r>
        <w:rPr>
          <w:spacing w:val="1"/>
        </w:rPr>
        <w:t>（7）办理以上案件需要异地出差的，交通费、住宿费、长途电</w:t>
      </w:r>
      <w:r>
        <w:t xml:space="preserve"> </w:t>
      </w:r>
      <w:r>
        <w:rPr>
          <w:spacing w:val="-2"/>
        </w:rPr>
        <w:t>话费等由委托方承担，该费用可以实报实销，也可以协商固定数额。</w:t>
      </w:r>
    </w:p>
    <w:p w14:paraId="6D71274B">
      <w:pPr>
        <w:pStyle w:val="2"/>
        <w:spacing w:before="337" w:line="222" w:lineRule="auto"/>
        <w:ind w:left="628"/>
        <w:rPr>
          <w:sz w:val="30"/>
          <w:szCs w:val="30"/>
        </w:rPr>
      </w:pPr>
      <w:r>
        <w:rPr>
          <w:b/>
          <w:bCs/>
          <w:spacing w:val="-4"/>
          <w:sz w:val="30"/>
          <w:szCs w:val="30"/>
        </w:rPr>
        <w:t>2、民事案件收费标准</w:t>
      </w:r>
    </w:p>
    <w:p w14:paraId="569E86B2">
      <w:pPr>
        <w:spacing w:line="358" w:lineRule="auto"/>
        <w:rPr>
          <w:rFonts w:ascii="Arial"/>
          <w:sz w:val="21"/>
        </w:rPr>
      </w:pPr>
    </w:p>
    <w:p w14:paraId="52895E46">
      <w:pPr>
        <w:pStyle w:val="2"/>
        <w:spacing w:before="92" w:line="223" w:lineRule="auto"/>
        <w:ind w:left="586"/>
        <w:outlineLvl w:val="1"/>
      </w:pPr>
      <w:r>
        <w:rPr>
          <w:b/>
          <w:bCs/>
          <w:spacing w:val="-5"/>
        </w:rPr>
        <w:t>2.1</w:t>
      </w:r>
      <w:r>
        <w:rPr>
          <w:spacing w:val="-46"/>
        </w:rPr>
        <w:t xml:space="preserve"> </w:t>
      </w:r>
      <w:r>
        <w:rPr>
          <w:b/>
          <w:bCs/>
          <w:spacing w:val="-5"/>
        </w:rPr>
        <w:t>基础服务费收费标准</w:t>
      </w:r>
    </w:p>
    <w:p w14:paraId="39810E47">
      <w:pPr>
        <w:pStyle w:val="2"/>
        <w:spacing w:before="243" w:line="222" w:lineRule="auto"/>
        <w:ind w:left="592"/>
      </w:pPr>
      <w:r>
        <w:rPr>
          <w:b/>
          <w:bCs/>
          <w:spacing w:val="-4"/>
        </w:rPr>
        <w:t>（1）一审阶段收费标准：</w:t>
      </w:r>
    </w:p>
    <w:p w14:paraId="2E08B0E0">
      <w:pPr>
        <w:pStyle w:val="2"/>
        <w:spacing w:before="122" w:line="222" w:lineRule="auto"/>
        <w:ind w:left="863"/>
      </w:pPr>
      <w:r>
        <w:rPr>
          <w:spacing w:val="-1"/>
        </w:rPr>
        <w:t>①不涉及财产标的的案件：</w:t>
      </w:r>
    </w:p>
    <w:p w14:paraId="484B8B42">
      <w:pPr>
        <w:spacing w:line="222" w:lineRule="auto"/>
        <w:sectPr>
          <w:footerReference r:id="rId6" w:type="default"/>
          <w:pgSz w:w="11906" w:h="16839"/>
          <w:pgMar w:top="1077" w:right="1577" w:bottom="959" w:left="1785" w:header="0" w:footer="745" w:gutter="0"/>
          <w:cols w:space="720" w:num="1"/>
        </w:sectPr>
      </w:pPr>
    </w:p>
    <w:p w14:paraId="42F0E859">
      <w:pPr>
        <w:pStyle w:val="2"/>
        <w:spacing w:before="57" w:line="223" w:lineRule="auto"/>
        <w:ind w:left="599"/>
      </w:pPr>
      <w:r>
        <w:rPr>
          <w:color w:val="333333"/>
          <w:spacing w:val="-4"/>
        </w:rPr>
        <w:t>计件收费：2</w:t>
      </w:r>
      <w:r>
        <w:rPr>
          <w:color w:val="333333"/>
          <w:spacing w:val="-51"/>
        </w:rPr>
        <w:t xml:space="preserve"> </w:t>
      </w:r>
      <w:r>
        <w:rPr>
          <w:color w:val="333333"/>
          <w:spacing w:val="-4"/>
        </w:rPr>
        <w:t>万元</w:t>
      </w:r>
      <w:r>
        <w:rPr>
          <w:spacing w:val="-4"/>
        </w:rPr>
        <w:t>－</w:t>
      </w:r>
      <w:r>
        <w:rPr>
          <w:color w:val="333333"/>
          <w:spacing w:val="-4"/>
        </w:rPr>
        <w:t>50</w:t>
      </w:r>
      <w:r>
        <w:rPr>
          <w:color w:val="333333"/>
          <w:spacing w:val="-50"/>
        </w:rPr>
        <w:t xml:space="preserve"> </w:t>
      </w:r>
      <w:r>
        <w:rPr>
          <w:color w:val="333333"/>
          <w:spacing w:val="-4"/>
        </w:rPr>
        <w:t>万元。</w:t>
      </w:r>
    </w:p>
    <w:p w14:paraId="7F54A32B">
      <w:pPr>
        <w:pStyle w:val="2"/>
        <w:spacing w:before="122" w:line="303" w:lineRule="auto"/>
        <w:ind w:left="40" w:right="566" w:firstLine="567"/>
      </w:pPr>
      <w:r>
        <w:rPr>
          <w:color w:val="333333"/>
        </w:rPr>
        <w:t>北京市内普通民事案件，代理费2</w:t>
      </w:r>
      <w:r>
        <w:rPr>
          <w:color w:val="333333"/>
          <w:spacing w:val="-45"/>
        </w:rPr>
        <w:t xml:space="preserve"> </w:t>
      </w:r>
      <w:r>
        <w:rPr>
          <w:color w:val="333333"/>
        </w:rPr>
        <w:t>万元</w:t>
      </w:r>
      <w:r>
        <w:t>－</w:t>
      </w:r>
      <w:r>
        <w:rPr>
          <w:color w:val="333333"/>
        </w:rPr>
        <w:t>50</w:t>
      </w:r>
      <w:r>
        <w:rPr>
          <w:color w:val="333333"/>
          <w:spacing w:val="-51"/>
        </w:rPr>
        <w:t xml:space="preserve"> </w:t>
      </w:r>
      <w:r>
        <w:rPr>
          <w:color w:val="333333"/>
        </w:rPr>
        <w:t xml:space="preserve">万元；外埠民事案 </w:t>
      </w:r>
      <w:r>
        <w:rPr>
          <w:color w:val="333333"/>
          <w:spacing w:val="-5"/>
        </w:rPr>
        <w:t>件，代理费</w:t>
      </w:r>
      <w:r>
        <w:rPr>
          <w:color w:val="333333"/>
          <w:spacing w:val="-54"/>
        </w:rPr>
        <w:t xml:space="preserve"> </w:t>
      </w:r>
      <w:r>
        <w:rPr>
          <w:color w:val="333333"/>
          <w:spacing w:val="-5"/>
        </w:rPr>
        <w:t>5</w:t>
      </w:r>
      <w:r>
        <w:rPr>
          <w:color w:val="333333"/>
          <w:spacing w:val="-49"/>
        </w:rPr>
        <w:t xml:space="preserve"> </w:t>
      </w:r>
      <w:r>
        <w:rPr>
          <w:color w:val="333333"/>
          <w:spacing w:val="-5"/>
        </w:rPr>
        <w:t>万元</w:t>
      </w:r>
      <w:r>
        <w:rPr>
          <w:spacing w:val="-5"/>
        </w:rPr>
        <w:t>－</w:t>
      </w:r>
      <w:r>
        <w:rPr>
          <w:color w:val="333333"/>
          <w:spacing w:val="-5"/>
        </w:rPr>
        <w:t>100</w:t>
      </w:r>
      <w:r>
        <w:rPr>
          <w:color w:val="333333"/>
          <w:spacing w:val="-51"/>
        </w:rPr>
        <w:t xml:space="preserve"> </w:t>
      </w:r>
      <w:r>
        <w:rPr>
          <w:color w:val="333333"/>
          <w:spacing w:val="-5"/>
        </w:rPr>
        <w:t>万元。</w:t>
      </w:r>
    </w:p>
    <w:p w14:paraId="3938BFFD">
      <w:pPr>
        <w:pStyle w:val="2"/>
        <w:spacing w:before="2" w:line="303" w:lineRule="auto"/>
        <w:ind w:left="44" w:right="451" w:firstLine="564"/>
      </w:pPr>
      <w:r>
        <w:rPr>
          <w:color w:val="333333"/>
          <w:spacing w:val="-5"/>
        </w:rPr>
        <w:t>法律关系复杂、当事人人数众多、涉外（含涉港、澳、台）、重</w:t>
      </w:r>
      <w:r>
        <w:rPr>
          <w:color w:val="333333"/>
          <w:spacing w:val="18"/>
        </w:rPr>
        <w:t xml:space="preserve"> </w:t>
      </w:r>
      <w:r>
        <w:rPr>
          <w:color w:val="333333"/>
          <w:spacing w:val="1"/>
        </w:rPr>
        <w:t>大疑难或有重大社会影响的案件，代理费为上述标准的2</w:t>
      </w:r>
      <w:r>
        <w:rPr>
          <w:spacing w:val="1"/>
        </w:rPr>
        <w:t>－</w:t>
      </w:r>
      <w:r>
        <w:rPr>
          <w:color w:val="333333"/>
          <w:spacing w:val="1"/>
        </w:rPr>
        <w:t>10</w:t>
      </w:r>
      <w:r>
        <w:rPr>
          <w:color w:val="333333"/>
          <w:spacing w:val="-50"/>
        </w:rPr>
        <w:t xml:space="preserve"> </w:t>
      </w:r>
      <w:r>
        <w:rPr>
          <w:color w:val="333333"/>
        </w:rPr>
        <w:t>倍。</w:t>
      </w:r>
    </w:p>
    <w:p w14:paraId="453DF345">
      <w:pPr>
        <w:pStyle w:val="2"/>
        <w:spacing w:line="222" w:lineRule="auto"/>
        <w:ind w:left="870"/>
      </w:pPr>
      <w:r>
        <w:rPr>
          <w:spacing w:val="-1"/>
        </w:rPr>
        <w:t>②</w:t>
      </w:r>
      <w:r>
        <w:rPr>
          <w:color w:val="333333"/>
          <w:spacing w:val="-1"/>
        </w:rPr>
        <w:t>涉及财产标的额的案件：</w:t>
      </w:r>
    </w:p>
    <w:p w14:paraId="501F2D41">
      <w:pPr>
        <w:pStyle w:val="2"/>
        <w:spacing w:before="120" w:line="220" w:lineRule="auto"/>
        <w:ind w:left="601"/>
      </w:pPr>
      <w:r>
        <w:rPr>
          <w:color w:val="333333"/>
          <w:spacing w:val="-1"/>
        </w:rPr>
        <w:t>根据争议标的额按照下表的比例收取代理费</w:t>
      </w:r>
    </w:p>
    <w:tbl>
      <w:tblPr>
        <w:tblStyle w:val="5"/>
        <w:tblW w:w="877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54"/>
        <w:gridCol w:w="501"/>
        <w:gridCol w:w="5315"/>
      </w:tblGrid>
      <w:tr w14:paraId="2DEA7F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2954" w:type="dxa"/>
            <w:vAlign w:val="top"/>
          </w:tcPr>
          <w:p w14:paraId="71D10418">
            <w:pPr>
              <w:spacing w:line="284" w:lineRule="auto"/>
              <w:rPr>
                <w:rFonts w:ascii="Arial"/>
                <w:sz w:val="21"/>
              </w:rPr>
            </w:pPr>
          </w:p>
          <w:p w14:paraId="2A94B6FF">
            <w:pPr>
              <w:pStyle w:val="6"/>
              <w:spacing w:before="91" w:line="223" w:lineRule="auto"/>
              <w:ind w:left="109"/>
            </w:pPr>
            <w:r>
              <w:rPr>
                <w:color w:val="333333"/>
                <w:spacing w:val="-18"/>
              </w:rPr>
              <w:t>争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  <w:spacing w:val="-18"/>
              </w:rPr>
              <w:t>议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-18"/>
              </w:rPr>
              <w:t>标</w:t>
            </w:r>
            <w:r>
              <w:rPr>
                <w:color w:val="333333"/>
                <w:spacing w:val="34"/>
              </w:rPr>
              <w:t xml:space="preserve"> </w:t>
            </w:r>
            <w:r>
              <w:rPr>
                <w:color w:val="333333"/>
                <w:spacing w:val="-18"/>
              </w:rPr>
              <w:t>的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  <w:spacing w:val="-18"/>
              </w:rPr>
              <w:t>额</w:t>
            </w:r>
          </w:p>
        </w:tc>
        <w:tc>
          <w:tcPr>
            <w:tcW w:w="501" w:type="dxa"/>
            <w:textDirection w:val="tbRlV"/>
            <w:vAlign w:val="top"/>
          </w:tcPr>
          <w:p w14:paraId="48D043C7">
            <w:pPr>
              <w:pStyle w:val="6"/>
              <w:spacing w:before="202" w:line="203" w:lineRule="auto"/>
              <w:ind w:left="146"/>
            </w:pPr>
            <w:r>
              <w:rPr>
                <w:color w:val="333333"/>
                <w:spacing w:val="7"/>
              </w:rPr>
              <w:t>比</w:t>
            </w:r>
            <w:r>
              <w:rPr>
                <w:color w:val="333333"/>
                <w:spacing w:val="33"/>
              </w:rPr>
              <w:t xml:space="preserve"> </w:t>
            </w:r>
            <w:r>
              <w:rPr>
                <w:color w:val="333333"/>
                <w:spacing w:val="7"/>
              </w:rPr>
              <w:t>例</w:t>
            </w:r>
          </w:p>
        </w:tc>
        <w:tc>
          <w:tcPr>
            <w:tcW w:w="5315" w:type="dxa"/>
            <w:vAlign w:val="top"/>
          </w:tcPr>
          <w:p w14:paraId="5A93F3F3">
            <w:pPr>
              <w:spacing w:line="283" w:lineRule="auto"/>
              <w:rPr>
                <w:rFonts w:ascii="Arial"/>
                <w:sz w:val="21"/>
              </w:rPr>
            </w:pPr>
          </w:p>
          <w:p w14:paraId="3BAEEE70">
            <w:pPr>
              <w:pStyle w:val="6"/>
              <w:spacing w:before="91" w:line="224" w:lineRule="auto"/>
              <w:ind w:left="109"/>
            </w:pPr>
            <w:r>
              <w:rPr>
                <w:color w:val="333333"/>
                <w:spacing w:val="-11"/>
              </w:rPr>
              <w:t>代</w:t>
            </w:r>
            <w:r>
              <w:rPr>
                <w:color w:val="333333"/>
                <w:spacing w:val="58"/>
              </w:rPr>
              <w:t xml:space="preserve">  </w:t>
            </w:r>
            <w:r>
              <w:rPr>
                <w:color w:val="333333"/>
                <w:spacing w:val="-11"/>
              </w:rPr>
              <w:t>理   费</w:t>
            </w:r>
          </w:p>
        </w:tc>
      </w:tr>
      <w:tr w14:paraId="61B6C2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2954" w:type="dxa"/>
            <w:vAlign w:val="top"/>
          </w:tcPr>
          <w:p w14:paraId="62FB97C8">
            <w:pPr>
              <w:pStyle w:val="6"/>
              <w:spacing w:before="144" w:line="223" w:lineRule="auto"/>
              <w:ind w:left="119"/>
            </w:pPr>
            <w:r>
              <w:rPr>
                <w:color w:val="333333"/>
                <w:spacing w:val="-6"/>
              </w:rPr>
              <w:t>10</w:t>
            </w:r>
            <w:r>
              <w:rPr>
                <w:color w:val="333333"/>
                <w:spacing w:val="-51"/>
              </w:rPr>
              <w:t xml:space="preserve"> </w:t>
            </w:r>
            <w:r>
              <w:rPr>
                <w:color w:val="333333"/>
                <w:spacing w:val="-6"/>
              </w:rPr>
              <w:t>万元以下部分</w:t>
            </w:r>
          </w:p>
        </w:tc>
        <w:tc>
          <w:tcPr>
            <w:tcW w:w="501" w:type="dxa"/>
            <w:vAlign w:val="top"/>
          </w:tcPr>
          <w:p w14:paraId="08F7AB36">
            <w:pPr>
              <w:rPr>
                <w:rFonts w:ascii="Arial"/>
                <w:sz w:val="21"/>
              </w:rPr>
            </w:pPr>
          </w:p>
        </w:tc>
        <w:tc>
          <w:tcPr>
            <w:tcW w:w="5315" w:type="dxa"/>
            <w:vAlign w:val="top"/>
          </w:tcPr>
          <w:p w14:paraId="02BC9EDA">
            <w:pPr>
              <w:pStyle w:val="6"/>
              <w:spacing w:before="144" w:line="223" w:lineRule="auto"/>
              <w:ind w:left="98"/>
            </w:pPr>
            <w:r>
              <w:rPr>
                <w:color w:val="333333"/>
                <w:spacing w:val="-11"/>
              </w:rPr>
              <w:t>2</w:t>
            </w:r>
            <w:r>
              <w:rPr>
                <w:color w:val="333333"/>
                <w:spacing w:val="-49"/>
              </w:rPr>
              <w:t xml:space="preserve"> </w:t>
            </w:r>
            <w:r>
              <w:rPr>
                <w:color w:val="333333"/>
                <w:spacing w:val="-11"/>
              </w:rPr>
              <w:t>万元</w:t>
            </w:r>
          </w:p>
        </w:tc>
      </w:tr>
      <w:tr w14:paraId="18A8F0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2954" w:type="dxa"/>
            <w:vAlign w:val="top"/>
          </w:tcPr>
          <w:p w14:paraId="2380B617">
            <w:pPr>
              <w:pStyle w:val="6"/>
              <w:spacing w:before="146" w:line="222" w:lineRule="auto"/>
              <w:ind w:left="119"/>
            </w:pPr>
            <w:r>
              <w:rPr>
                <w:color w:val="333333"/>
                <w:spacing w:val="-7"/>
              </w:rPr>
              <w:t>10</w:t>
            </w:r>
            <w:r>
              <w:rPr>
                <w:color w:val="333333"/>
                <w:spacing w:val="-44"/>
              </w:rPr>
              <w:t xml:space="preserve"> </w:t>
            </w:r>
            <w:r>
              <w:rPr>
                <w:color w:val="333333"/>
                <w:spacing w:val="-7"/>
              </w:rPr>
              <w:t>万—100</w:t>
            </w:r>
            <w:r>
              <w:rPr>
                <w:color w:val="333333"/>
                <w:spacing w:val="-51"/>
              </w:rPr>
              <w:t xml:space="preserve"> </w:t>
            </w:r>
            <w:r>
              <w:rPr>
                <w:color w:val="333333"/>
                <w:spacing w:val="-7"/>
              </w:rPr>
              <w:t>万元部分</w:t>
            </w:r>
          </w:p>
        </w:tc>
        <w:tc>
          <w:tcPr>
            <w:tcW w:w="501" w:type="dxa"/>
            <w:vAlign w:val="top"/>
          </w:tcPr>
          <w:p w14:paraId="329C3301">
            <w:pPr>
              <w:pStyle w:val="6"/>
              <w:spacing w:before="146" w:line="222" w:lineRule="auto"/>
              <w:ind w:left="115"/>
            </w:pPr>
            <w:r>
              <w:rPr>
                <w:color w:val="333333"/>
                <w:spacing w:val="-5"/>
              </w:rPr>
              <w:t>6%</w:t>
            </w:r>
          </w:p>
        </w:tc>
        <w:tc>
          <w:tcPr>
            <w:tcW w:w="5315" w:type="dxa"/>
            <w:vAlign w:val="top"/>
          </w:tcPr>
          <w:p w14:paraId="3F672074">
            <w:pPr>
              <w:pStyle w:val="6"/>
              <w:spacing w:before="146" w:line="222" w:lineRule="auto"/>
              <w:ind w:left="98"/>
            </w:pPr>
            <w:r>
              <w:rPr>
                <w:color w:val="333333"/>
                <w:spacing w:val="-1"/>
              </w:rPr>
              <w:t>2</w:t>
            </w:r>
            <w:r>
              <w:rPr>
                <w:color w:val="333333"/>
                <w:spacing w:val="-44"/>
              </w:rPr>
              <w:t xml:space="preserve"> </w:t>
            </w:r>
            <w:r>
              <w:rPr>
                <w:color w:val="333333"/>
                <w:spacing w:val="-1"/>
              </w:rPr>
              <w:t>万元+标的额</w:t>
            </w:r>
            <w:r>
              <w:rPr>
                <w:color w:val="333333"/>
                <w:spacing w:val="-40"/>
              </w:rPr>
              <w:t xml:space="preserve"> </w:t>
            </w:r>
            <w:r>
              <w:rPr>
                <w:color w:val="333333"/>
                <w:spacing w:val="-1"/>
              </w:rPr>
              <w:t>10</w:t>
            </w:r>
            <w:r>
              <w:rPr>
                <w:color w:val="333333"/>
                <w:spacing w:val="-51"/>
              </w:rPr>
              <w:t xml:space="preserve"> </w:t>
            </w:r>
            <w:r>
              <w:rPr>
                <w:color w:val="333333"/>
                <w:spacing w:val="-1"/>
              </w:rPr>
              <w:t>万元以上部分的6%</w:t>
            </w:r>
          </w:p>
        </w:tc>
      </w:tr>
      <w:tr w14:paraId="193627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2954" w:type="dxa"/>
            <w:vAlign w:val="top"/>
          </w:tcPr>
          <w:p w14:paraId="1A4A10D9">
            <w:pPr>
              <w:pStyle w:val="6"/>
              <w:spacing w:before="146" w:line="222" w:lineRule="auto"/>
              <w:ind w:left="119"/>
            </w:pPr>
            <w:r>
              <w:rPr>
                <w:color w:val="333333"/>
                <w:spacing w:val="-6"/>
              </w:rPr>
              <w:t>100</w:t>
            </w:r>
            <w:r>
              <w:rPr>
                <w:color w:val="333333"/>
                <w:spacing w:val="-42"/>
              </w:rPr>
              <w:t xml:space="preserve"> </w:t>
            </w:r>
            <w:r>
              <w:rPr>
                <w:color w:val="333333"/>
                <w:spacing w:val="-6"/>
              </w:rPr>
              <w:t>万—1000</w:t>
            </w:r>
            <w:r>
              <w:rPr>
                <w:color w:val="333333"/>
                <w:spacing w:val="-51"/>
              </w:rPr>
              <w:t xml:space="preserve"> </w:t>
            </w:r>
            <w:r>
              <w:rPr>
                <w:color w:val="333333"/>
                <w:spacing w:val="-6"/>
              </w:rPr>
              <w:t>万元部分</w:t>
            </w:r>
          </w:p>
        </w:tc>
        <w:tc>
          <w:tcPr>
            <w:tcW w:w="501" w:type="dxa"/>
            <w:vAlign w:val="top"/>
          </w:tcPr>
          <w:p w14:paraId="5A0F7D38">
            <w:pPr>
              <w:pStyle w:val="6"/>
              <w:spacing w:before="146" w:line="222" w:lineRule="auto"/>
              <w:ind w:left="112"/>
            </w:pPr>
            <w:r>
              <w:rPr>
                <w:color w:val="333333"/>
                <w:spacing w:val="-4"/>
              </w:rPr>
              <w:t>4%</w:t>
            </w:r>
          </w:p>
        </w:tc>
        <w:tc>
          <w:tcPr>
            <w:tcW w:w="5315" w:type="dxa"/>
            <w:vAlign w:val="top"/>
          </w:tcPr>
          <w:p w14:paraId="3DEC6721">
            <w:pPr>
              <w:pStyle w:val="6"/>
              <w:spacing w:before="146" w:line="222" w:lineRule="auto"/>
              <w:ind w:left="101"/>
            </w:pPr>
            <w:r>
              <w:rPr>
                <w:color w:val="333333"/>
                <w:spacing w:val="-1"/>
              </w:rPr>
              <w:t>7.4</w:t>
            </w:r>
            <w:r>
              <w:rPr>
                <w:color w:val="333333"/>
                <w:spacing w:val="-47"/>
              </w:rPr>
              <w:t xml:space="preserve"> </w:t>
            </w:r>
            <w:r>
              <w:rPr>
                <w:color w:val="333333"/>
                <w:spacing w:val="-1"/>
              </w:rPr>
              <w:t>万元+标的额</w:t>
            </w:r>
            <w:r>
              <w:rPr>
                <w:color w:val="333333"/>
                <w:spacing w:val="-39"/>
              </w:rPr>
              <w:t xml:space="preserve"> </w:t>
            </w:r>
            <w:r>
              <w:rPr>
                <w:color w:val="333333"/>
                <w:spacing w:val="-1"/>
              </w:rPr>
              <w:t>100</w:t>
            </w:r>
            <w:r>
              <w:rPr>
                <w:color w:val="333333"/>
                <w:spacing w:val="-49"/>
              </w:rPr>
              <w:t xml:space="preserve"> </w:t>
            </w:r>
            <w:r>
              <w:rPr>
                <w:color w:val="333333"/>
                <w:spacing w:val="-1"/>
              </w:rPr>
              <w:t>万元以上部分的4%</w:t>
            </w:r>
          </w:p>
        </w:tc>
      </w:tr>
      <w:tr w14:paraId="2D672E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2954" w:type="dxa"/>
            <w:vAlign w:val="top"/>
          </w:tcPr>
          <w:p w14:paraId="3286CB8A">
            <w:pPr>
              <w:pStyle w:val="6"/>
              <w:spacing w:before="150" w:line="223" w:lineRule="auto"/>
              <w:ind w:left="119"/>
            </w:pPr>
            <w:r>
              <w:rPr>
                <w:color w:val="333333"/>
                <w:spacing w:val="-5"/>
              </w:rPr>
              <w:t>1000</w:t>
            </w:r>
            <w:r>
              <w:rPr>
                <w:color w:val="333333"/>
                <w:spacing w:val="-49"/>
              </w:rPr>
              <w:t xml:space="preserve"> </w:t>
            </w:r>
            <w:r>
              <w:rPr>
                <w:color w:val="333333"/>
                <w:spacing w:val="-5"/>
              </w:rPr>
              <w:t>万元以上部分</w:t>
            </w:r>
          </w:p>
        </w:tc>
        <w:tc>
          <w:tcPr>
            <w:tcW w:w="501" w:type="dxa"/>
            <w:vAlign w:val="top"/>
          </w:tcPr>
          <w:p w14:paraId="776D9BED">
            <w:pPr>
              <w:pStyle w:val="6"/>
              <w:spacing w:before="149" w:line="225" w:lineRule="auto"/>
              <w:ind w:left="117"/>
            </w:pPr>
            <w:r>
              <w:rPr>
                <w:color w:val="333333"/>
                <w:spacing w:val="-6"/>
              </w:rPr>
              <w:t>2%</w:t>
            </w:r>
          </w:p>
        </w:tc>
        <w:tc>
          <w:tcPr>
            <w:tcW w:w="5315" w:type="dxa"/>
            <w:vAlign w:val="top"/>
          </w:tcPr>
          <w:p w14:paraId="7175FAC1">
            <w:pPr>
              <w:pStyle w:val="6"/>
              <w:spacing w:before="150" w:line="223" w:lineRule="auto"/>
              <w:ind w:left="93"/>
            </w:pPr>
            <w:r>
              <w:rPr>
                <w:color w:val="333333"/>
                <w:spacing w:val="-4"/>
              </w:rPr>
              <w:t>43.4</w:t>
            </w:r>
            <w:r>
              <w:rPr>
                <w:color w:val="333333"/>
                <w:spacing w:val="-47"/>
              </w:rPr>
              <w:t xml:space="preserve"> </w:t>
            </w:r>
            <w:r>
              <w:rPr>
                <w:color w:val="333333"/>
                <w:spacing w:val="-4"/>
              </w:rPr>
              <w:t>万元+标的额</w:t>
            </w:r>
            <w:r>
              <w:rPr>
                <w:color w:val="333333"/>
                <w:spacing w:val="-40"/>
              </w:rPr>
              <w:t xml:space="preserve"> </w:t>
            </w:r>
            <w:r>
              <w:rPr>
                <w:color w:val="333333"/>
                <w:spacing w:val="-4"/>
              </w:rPr>
              <w:t>1000</w:t>
            </w:r>
            <w:r>
              <w:rPr>
                <w:color w:val="333333"/>
                <w:spacing w:val="-51"/>
              </w:rPr>
              <w:t xml:space="preserve"> </w:t>
            </w:r>
            <w:r>
              <w:rPr>
                <w:color w:val="333333"/>
                <w:spacing w:val="-4"/>
              </w:rPr>
              <w:t>万元以上部分的</w:t>
            </w:r>
            <w:r>
              <w:rPr>
                <w:color w:val="333333"/>
                <w:spacing w:val="-57"/>
              </w:rPr>
              <w:t xml:space="preserve"> </w:t>
            </w:r>
            <w:r>
              <w:rPr>
                <w:color w:val="333333"/>
                <w:spacing w:val="-4"/>
              </w:rPr>
              <w:t>2%</w:t>
            </w:r>
          </w:p>
        </w:tc>
      </w:tr>
    </w:tbl>
    <w:p w14:paraId="329C7A01">
      <w:pPr>
        <w:pStyle w:val="2"/>
        <w:spacing w:before="130" w:line="303" w:lineRule="auto"/>
        <w:ind w:left="39" w:right="451" w:firstLine="569"/>
        <w:jc w:val="both"/>
      </w:pPr>
      <w:r>
        <w:rPr>
          <w:spacing w:val="-5"/>
        </w:rPr>
        <w:t>法律关系复杂、当事人人数众多、涉外（含涉港、澳、台）、重</w:t>
      </w:r>
      <w:r>
        <w:rPr>
          <w:spacing w:val="18"/>
        </w:rPr>
        <w:t xml:space="preserve"> </w:t>
      </w:r>
      <w:r>
        <w:rPr>
          <w:spacing w:val="-4"/>
        </w:rPr>
        <w:t>大疑难或有重大社会影响的案件，以及外埠民事案件，代理费为上述</w:t>
      </w:r>
      <w:r>
        <w:rPr>
          <w:spacing w:val="7"/>
        </w:rPr>
        <w:t xml:space="preserve"> </w:t>
      </w:r>
      <w:r>
        <w:rPr>
          <w:spacing w:val="3"/>
        </w:rPr>
        <w:t>标准的2-5</w:t>
      </w:r>
      <w:r>
        <w:rPr>
          <w:spacing w:val="-48"/>
        </w:rPr>
        <w:t xml:space="preserve"> </w:t>
      </w:r>
      <w:r>
        <w:rPr>
          <w:spacing w:val="3"/>
        </w:rPr>
        <w:t>倍，但外埠民事案件代理费最低不低于5</w:t>
      </w:r>
      <w:r>
        <w:rPr>
          <w:spacing w:val="-51"/>
        </w:rPr>
        <w:t xml:space="preserve"> </w:t>
      </w:r>
      <w:r>
        <w:rPr>
          <w:spacing w:val="3"/>
        </w:rPr>
        <w:t>万元。</w:t>
      </w:r>
    </w:p>
    <w:p w14:paraId="0A621E8F">
      <w:pPr>
        <w:pStyle w:val="2"/>
        <w:spacing w:line="222" w:lineRule="auto"/>
        <w:ind w:left="600"/>
      </w:pPr>
      <w:r>
        <w:rPr>
          <w:b/>
          <w:bCs/>
          <w:spacing w:val="-4"/>
        </w:rPr>
        <w:t>（2）二审阶段收费标准：</w:t>
      </w:r>
    </w:p>
    <w:p w14:paraId="0211B73A">
      <w:pPr>
        <w:pStyle w:val="2"/>
        <w:spacing w:before="124" w:line="222" w:lineRule="auto"/>
        <w:ind w:left="872"/>
      </w:pPr>
      <w:r>
        <w:rPr>
          <w:spacing w:val="-1"/>
        </w:rPr>
        <w:t>①未代理一审阶段的案件，二审代理费按一审标准收取。</w:t>
      </w:r>
    </w:p>
    <w:p w14:paraId="76210F18">
      <w:pPr>
        <w:pStyle w:val="2"/>
        <w:spacing w:before="122" w:line="222" w:lineRule="auto"/>
        <w:ind w:left="870"/>
      </w:pPr>
      <w:r>
        <w:rPr>
          <w:spacing w:val="2"/>
        </w:rPr>
        <w:t>②曾代理一审的案件，二审代理费按一审收费的80%收取。</w:t>
      </w:r>
    </w:p>
    <w:p w14:paraId="748AF1FC">
      <w:pPr>
        <w:pStyle w:val="2"/>
        <w:spacing w:before="124" w:line="222" w:lineRule="auto"/>
        <w:ind w:left="600"/>
      </w:pPr>
      <w:r>
        <w:rPr>
          <w:b/>
          <w:bCs/>
          <w:spacing w:val="-4"/>
        </w:rPr>
        <w:t>（3）发回重审阶段收费标准：</w:t>
      </w:r>
    </w:p>
    <w:p w14:paraId="324D2D81">
      <w:pPr>
        <w:pStyle w:val="2"/>
        <w:spacing w:before="123" w:line="263" w:lineRule="auto"/>
        <w:ind w:left="41" w:right="451" w:firstLine="830"/>
      </w:pPr>
      <w:r>
        <w:rPr>
          <w:spacing w:val="6"/>
        </w:rPr>
        <w:t>①曾代理一审/二审阶段的案件，代理费按一审收费的80%收</w:t>
      </w:r>
      <w:r>
        <w:rPr>
          <w:spacing w:val="7"/>
        </w:rPr>
        <w:t xml:space="preserve"> </w:t>
      </w:r>
      <w:r>
        <w:rPr>
          <w:spacing w:val="-10"/>
        </w:rPr>
        <w:t>取。</w:t>
      </w:r>
    </w:p>
    <w:p w14:paraId="7306EA0C">
      <w:pPr>
        <w:pStyle w:val="2"/>
        <w:spacing w:before="123" w:line="222" w:lineRule="auto"/>
        <w:ind w:left="870"/>
      </w:pPr>
      <w:r>
        <w:rPr>
          <w:spacing w:val="-4"/>
        </w:rPr>
        <w:t>②未代理一审/二审阶段的案件，代理费按一审收费标准收取。</w:t>
      </w:r>
    </w:p>
    <w:p w14:paraId="4E5E47D0">
      <w:pPr>
        <w:pStyle w:val="2"/>
        <w:spacing w:before="124" w:line="222" w:lineRule="auto"/>
        <w:ind w:left="600"/>
      </w:pPr>
      <w:r>
        <w:rPr>
          <w:b/>
          <w:bCs/>
          <w:spacing w:val="-4"/>
        </w:rPr>
        <w:t>（4）再审（申诉）阶段收费标准：</w:t>
      </w:r>
    </w:p>
    <w:p w14:paraId="054B39C2">
      <w:pPr>
        <w:pStyle w:val="2"/>
        <w:spacing w:before="122" w:line="263" w:lineRule="auto"/>
        <w:ind w:left="45" w:right="451" w:firstLine="826"/>
      </w:pPr>
      <w:r>
        <w:rPr>
          <w:spacing w:val="1"/>
        </w:rPr>
        <w:t>①未代理一审/二审而单独代理再审(申诉)的案件，代理费按</w:t>
      </w:r>
      <w:r>
        <w:rPr>
          <w:spacing w:val="7"/>
        </w:rPr>
        <w:t xml:space="preserve"> </w:t>
      </w:r>
      <w:r>
        <w:rPr>
          <w:spacing w:val="-4"/>
        </w:rPr>
        <w:t>一审标准收取。</w:t>
      </w:r>
    </w:p>
    <w:p w14:paraId="4D5B78EE">
      <w:pPr>
        <w:pStyle w:val="2"/>
        <w:spacing w:before="122" w:line="263" w:lineRule="auto"/>
        <w:ind w:left="56" w:right="450" w:firstLine="814"/>
      </w:pPr>
      <w:r>
        <w:rPr>
          <w:spacing w:val="6"/>
        </w:rPr>
        <w:t>②曾代理一审/二审的案件，代理费按一审或二审收费的80%</w:t>
      </w:r>
      <w:r>
        <w:rPr>
          <w:spacing w:val="9"/>
        </w:rPr>
        <w:t xml:space="preserve"> </w:t>
      </w:r>
      <w:r>
        <w:rPr>
          <w:spacing w:val="-11"/>
        </w:rPr>
        <w:t>收取。</w:t>
      </w:r>
    </w:p>
    <w:p w14:paraId="26379A1B">
      <w:pPr>
        <w:pStyle w:val="2"/>
        <w:spacing w:before="122" w:line="223" w:lineRule="auto"/>
        <w:ind w:left="600"/>
      </w:pPr>
      <w:r>
        <w:rPr>
          <w:b/>
          <w:bCs/>
          <w:spacing w:val="-4"/>
        </w:rPr>
        <w:t>（5）仲裁案件收费标准：</w:t>
      </w:r>
    </w:p>
    <w:p w14:paraId="6C5BF5AA">
      <w:pPr>
        <w:pStyle w:val="2"/>
        <w:spacing w:before="123" w:line="222" w:lineRule="auto"/>
        <w:ind w:left="872"/>
      </w:pPr>
      <w:r>
        <w:rPr>
          <w:spacing w:val="2"/>
        </w:rPr>
        <w:t>①劳动仲裁案件按民事案件一审阶段收费的50%收取。</w:t>
      </w:r>
    </w:p>
    <w:p w14:paraId="2367B6A8">
      <w:pPr>
        <w:pStyle w:val="2"/>
        <w:spacing w:before="122" w:line="222" w:lineRule="auto"/>
        <w:ind w:left="870"/>
      </w:pPr>
      <w:r>
        <w:rPr>
          <w:spacing w:val="-2"/>
        </w:rPr>
        <w:t>②商事仲裁案件按民事案件一审阶段收费的</w:t>
      </w:r>
      <w:r>
        <w:rPr>
          <w:spacing w:val="-27"/>
        </w:rPr>
        <w:t xml:space="preserve"> </w:t>
      </w:r>
      <w:r>
        <w:rPr>
          <w:spacing w:val="-2"/>
        </w:rPr>
        <w:t>150%收取。</w:t>
      </w:r>
    </w:p>
    <w:p w14:paraId="7EDB5B1B">
      <w:pPr>
        <w:spacing w:line="222" w:lineRule="auto"/>
        <w:sectPr>
          <w:footerReference r:id="rId7" w:type="default"/>
          <w:pgSz w:w="11906" w:h="16839"/>
          <w:pgMar w:top="1089" w:right="1347" w:bottom="959" w:left="1777" w:header="0" w:footer="745" w:gutter="0"/>
          <w:cols w:space="720" w:num="1"/>
        </w:sectPr>
      </w:pPr>
    </w:p>
    <w:p w14:paraId="3A5A432E">
      <w:pPr>
        <w:pStyle w:val="2"/>
        <w:spacing w:before="56" w:line="222" w:lineRule="auto"/>
        <w:ind w:left="592"/>
      </w:pPr>
      <w:r>
        <w:rPr>
          <w:b/>
          <w:bCs/>
          <w:spacing w:val="-4"/>
        </w:rPr>
        <w:t>（6）执行案件收费标准：</w:t>
      </w:r>
    </w:p>
    <w:p w14:paraId="7F77859F">
      <w:pPr>
        <w:pStyle w:val="2"/>
        <w:spacing w:before="125" w:line="222" w:lineRule="auto"/>
        <w:ind w:left="863"/>
      </w:pPr>
      <w:r>
        <w:rPr>
          <w:spacing w:val="-3"/>
        </w:rPr>
        <w:t>①计件收费：5000</w:t>
      </w:r>
      <w:r>
        <w:rPr>
          <w:spacing w:val="-45"/>
        </w:rPr>
        <w:t xml:space="preserve"> </w:t>
      </w:r>
      <w:r>
        <w:rPr>
          <w:spacing w:val="-3"/>
        </w:rPr>
        <w:t>元－100</w:t>
      </w:r>
      <w:r>
        <w:rPr>
          <w:spacing w:val="-51"/>
        </w:rPr>
        <w:t xml:space="preserve"> </w:t>
      </w:r>
      <w:r>
        <w:rPr>
          <w:spacing w:val="-3"/>
        </w:rPr>
        <w:t>万元。</w:t>
      </w:r>
    </w:p>
    <w:p w14:paraId="73EF5FB8">
      <w:pPr>
        <w:pStyle w:val="2"/>
        <w:spacing w:before="167" w:line="222" w:lineRule="auto"/>
        <w:ind w:left="862"/>
      </w:pPr>
      <w:r>
        <w:rPr>
          <w:spacing w:val="-1"/>
        </w:rPr>
        <w:t>②风险代理收费：按基础费用+标的额比例差额累进。</w:t>
      </w:r>
    </w:p>
    <w:p w14:paraId="73652FF4">
      <w:pPr>
        <w:spacing w:line="271" w:lineRule="auto"/>
        <w:rPr>
          <w:rFonts w:ascii="Arial"/>
          <w:sz w:val="21"/>
        </w:rPr>
      </w:pPr>
    </w:p>
    <w:p w14:paraId="7FD41ED4">
      <w:pPr>
        <w:pStyle w:val="2"/>
        <w:spacing w:before="91" w:line="223" w:lineRule="auto"/>
        <w:ind w:left="586"/>
      </w:pPr>
      <w:r>
        <w:rPr>
          <w:b/>
          <w:bCs/>
          <w:spacing w:val="-5"/>
        </w:rPr>
        <w:t>2.2</w:t>
      </w:r>
      <w:r>
        <w:rPr>
          <w:spacing w:val="-49"/>
        </w:rPr>
        <w:t xml:space="preserve"> </w:t>
      </w:r>
      <w:r>
        <w:rPr>
          <w:b/>
          <w:bCs/>
          <w:spacing w:val="-5"/>
        </w:rPr>
        <w:t>风险代理收费标准</w:t>
      </w:r>
    </w:p>
    <w:p w14:paraId="28E4BDEB">
      <w:pPr>
        <w:pStyle w:val="2"/>
        <w:spacing w:before="120" w:line="223" w:lineRule="auto"/>
        <w:ind w:left="591"/>
      </w:pPr>
      <w:r>
        <w:rPr>
          <w:spacing w:val="-2"/>
        </w:rPr>
        <w:t>按基础费用+标的额比例差额累进</w:t>
      </w:r>
    </w:p>
    <w:p w14:paraId="0B6119F8">
      <w:pPr>
        <w:pStyle w:val="2"/>
        <w:spacing w:before="122" w:line="223" w:lineRule="auto"/>
        <w:ind w:left="592"/>
      </w:pPr>
      <w:r>
        <w:rPr>
          <w:spacing w:val="-3"/>
        </w:rPr>
        <w:t>（1）基础费用收费标准： 2</w:t>
      </w:r>
      <w:r>
        <w:rPr>
          <w:spacing w:val="-43"/>
        </w:rPr>
        <w:t xml:space="preserve"> </w:t>
      </w:r>
      <w:r>
        <w:rPr>
          <w:spacing w:val="-3"/>
        </w:rPr>
        <w:t>万元－10</w:t>
      </w:r>
      <w:r>
        <w:rPr>
          <w:spacing w:val="-51"/>
        </w:rPr>
        <w:t xml:space="preserve"> </w:t>
      </w:r>
      <w:r>
        <w:rPr>
          <w:spacing w:val="-3"/>
        </w:rPr>
        <w:t>万元</w:t>
      </w:r>
    </w:p>
    <w:p w14:paraId="79877A55">
      <w:pPr>
        <w:pStyle w:val="2"/>
        <w:spacing w:before="122" w:line="223" w:lineRule="auto"/>
        <w:ind w:left="592"/>
      </w:pPr>
      <w:r>
        <w:rPr>
          <w:spacing w:val="-2"/>
        </w:rPr>
        <w:t>（2）标的额比例差额累进收费标准：</w:t>
      </w:r>
    </w:p>
    <w:p w14:paraId="6AC1F018">
      <w:pPr>
        <w:pStyle w:val="2"/>
        <w:spacing w:before="120" w:line="223" w:lineRule="auto"/>
        <w:ind w:left="603"/>
      </w:pPr>
      <w:r>
        <w:rPr>
          <w:spacing w:val="-8"/>
        </w:rPr>
        <w:t>100</w:t>
      </w:r>
      <w:r>
        <w:rPr>
          <w:spacing w:val="-50"/>
        </w:rPr>
        <w:t xml:space="preserve"> </w:t>
      </w:r>
      <w:r>
        <w:rPr>
          <w:spacing w:val="-8"/>
        </w:rPr>
        <w:t>万元以下（含</w:t>
      </w:r>
      <w:r>
        <w:rPr>
          <w:spacing w:val="-38"/>
        </w:rPr>
        <w:t xml:space="preserve"> </w:t>
      </w:r>
      <w:r>
        <w:rPr>
          <w:spacing w:val="-8"/>
        </w:rPr>
        <w:t>100</w:t>
      </w:r>
      <w:r>
        <w:rPr>
          <w:spacing w:val="-48"/>
        </w:rPr>
        <w:t xml:space="preserve"> </w:t>
      </w:r>
      <w:r>
        <w:rPr>
          <w:spacing w:val="-8"/>
        </w:rPr>
        <w:t>万元</w:t>
      </w:r>
      <w:r>
        <w:rPr>
          <w:spacing w:val="13"/>
        </w:rPr>
        <w:t>），</w:t>
      </w:r>
      <w:r>
        <w:rPr>
          <w:spacing w:val="-8"/>
        </w:rPr>
        <w:t>最高</w:t>
      </w:r>
      <w:r>
        <w:rPr>
          <w:spacing w:val="-40"/>
        </w:rPr>
        <w:t xml:space="preserve"> </w:t>
      </w:r>
      <w:r>
        <w:rPr>
          <w:spacing w:val="-8"/>
        </w:rPr>
        <w:t>18%；</w:t>
      </w:r>
    </w:p>
    <w:p w14:paraId="5C1F7C7E">
      <w:pPr>
        <w:pStyle w:val="2"/>
        <w:spacing w:before="123" w:line="223" w:lineRule="auto"/>
        <w:ind w:left="603"/>
      </w:pPr>
      <w:r>
        <w:rPr>
          <w:spacing w:val="-6"/>
        </w:rPr>
        <w:t>100</w:t>
      </w:r>
      <w:r>
        <w:rPr>
          <w:spacing w:val="-50"/>
        </w:rPr>
        <w:t xml:space="preserve"> </w:t>
      </w:r>
      <w:r>
        <w:rPr>
          <w:spacing w:val="-6"/>
        </w:rPr>
        <w:t>万元至</w:t>
      </w:r>
      <w:r>
        <w:rPr>
          <w:spacing w:val="-52"/>
        </w:rPr>
        <w:t xml:space="preserve"> </w:t>
      </w:r>
      <w:r>
        <w:rPr>
          <w:spacing w:val="-6"/>
        </w:rPr>
        <w:t>500</w:t>
      </w:r>
      <w:r>
        <w:rPr>
          <w:spacing w:val="-51"/>
        </w:rPr>
        <w:t xml:space="preserve"> </w:t>
      </w:r>
      <w:r>
        <w:rPr>
          <w:spacing w:val="-6"/>
        </w:rPr>
        <w:t>万元以上部分（含</w:t>
      </w:r>
      <w:r>
        <w:rPr>
          <w:spacing w:val="-58"/>
        </w:rPr>
        <w:t xml:space="preserve"> </w:t>
      </w:r>
      <w:r>
        <w:rPr>
          <w:spacing w:val="-6"/>
        </w:rPr>
        <w:t>500</w:t>
      </w:r>
      <w:r>
        <w:rPr>
          <w:spacing w:val="-51"/>
        </w:rPr>
        <w:t xml:space="preserve"> </w:t>
      </w:r>
      <w:r>
        <w:rPr>
          <w:spacing w:val="-6"/>
        </w:rPr>
        <w:t>万元</w:t>
      </w:r>
      <w:r>
        <w:rPr>
          <w:spacing w:val="12"/>
        </w:rPr>
        <w:t>），</w:t>
      </w:r>
      <w:r>
        <w:rPr>
          <w:spacing w:val="-7"/>
        </w:rPr>
        <w:t>最高</w:t>
      </w:r>
      <w:r>
        <w:rPr>
          <w:spacing w:val="-40"/>
        </w:rPr>
        <w:t xml:space="preserve"> </w:t>
      </w:r>
      <w:r>
        <w:rPr>
          <w:spacing w:val="-7"/>
        </w:rPr>
        <w:t>15%；</w:t>
      </w:r>
    </w:p>
    <w:p w14:paraId="08AEA258">
      <w:pPr>
        <w:pStyle w:val="2"/>
        <w:spacing w:before="123" w:line="223" w:lineRule="auto"/>
        <w:ind w:left="588"/>
      </w:pPr>
      <w:r>
        <w:rPr>
          <w:spacing w:val="-7"/>
        </w:rPr>
        <w:t>500</w:t>
      </w:r>
      <w:r>
        <w:rPr>
          <w:spacing w:val="-50"/>
        </w:rPr>
        <w:t xml:space="preserve"> </w:t>
      </w:r>
      <w:r>
        <w:rPr>
          <w:spacing w:val="-7"/>
        </w:rPr>
        <w:t>万元至</w:t>
      </w:r>
      <w:r>
        <w:rPr>
          <w:spacing w:val="-37"/>
        </w:rPr>
        <w:t xml:space="preserve"> </w:t>
      </w:r>
      <w:r>
        <w:rPr>
          <w:spacing w:val="-7"/>
        </w:rPr>
        <w:t>1000</w:t>
      </w:r>
      <w:r>
        <w:rPr>
          <w:spacing w:val="-51"/>
        </w:rPr>
        <w:t xml:space="preserve"> </w:t>
      </w:r>
      <w:r>
        <w:rPr>
          <w:spacing w:val="-7"/>
        </w:rPr>
        <w:t>万元（含</w:t>
      </w:r>
      <w:r>
        <w:rPr>
          <w:spacing w:val="-40"/>
        </w:rPr>
        <w:t xml:space="preserve"> </w:t>
      </w:r>
      <w:r>
        <w:rPr>
          <w:spacing w:val="-7"/>
        </w:rPr>
        <w:t>1000</w:t>
      </w:r>
      <w:r>
        <w:rPr>
          <w:spacing w:val="-51"/>
        </w:rPr>
        <w:t xml:space="preserve"> </w:t>
      </w:r>
      <w:r>
        <w:rPr>
          <w:spacing w:val="-7"/>
        </w:rPr>
        <w:t>万</w:t>
      </w:r>
      <w:r>
        <w:rPr>
          <w:spacing w:val="-8"/>
        </w:rPr>
        <w:t>元</w:t>
      </w:r>
      <w:r>
        <w:rPr>
          <w:spacing w:val="12"/>
        </w:rPr>
        <w:t>），</w:t>
      </w:r>
      <w:r>
        <w:rPr>
          <w:spacing w:val="-8"/>
        </w:rPr>
        <w:t>最高</w:t>
      </w:r>
      <w:r>
        <w:rPr>
          <w:spacing w:val="-40"/>
        </w:rPr>
        <w:t xml:space="preserve"> </w:t>
      </w:r>
      <w:r>
        <w:rPr>
          <w:spacing w:val="-8"/>
        </w:rPr>
        <w:t>12%；</w:t>
      </w:r>
    </w:p>
    <w:p w14:paraId="480A654E">
      <w:pPr>
        <w:pStyle w:val="2"/>
        <w:spacing w:before="120" w:line="223" w:lineRule="auto"/>
        <w:ind w:left="603"/>
      </w:pPr>
      <w:r>
        <w:rPr>
          <w:spacing w:val="-6"/>
        </w:rPr>
        <w:t>1000</w:t>
      </w:r>
      <w:r>
        <w:rPr>
          <w:spacing w:val="-48"/>
        </w:rPr>
        <w:t xml:space="preserve"> </w:t>
      </w:r>
      <w:r>
        <w:rPr>
          <w:spacing w:val="-6"/>
        </w:rPr>
        <w:t>万元至</w:t>
      </w:r>
      <w:r>
        <w:rPr>
          <w:spacing w:val="-55"/>
        </w:rPr>
        <w:t xml:space="preserve"> </w:t>
      </w:r>
      <w:r>
        <w:rPr>
          <w:spacing w:val="-6"/>
        </w:rPr>
        <w:t>5000</w:t>
      </w:r>
      <w:r>
        <w:rPr>
          <w:spacing w:val="-51"/>
        </w:rPr>
        <w:t xml:space="preserve"> </w:t>
      </w:r>
      <w:r>
        <w:rPr>
          <w:spacing w:val="-6"/>
        </w:rPr>
        <w:t>万元（含</w:t>
      </w:r>
      <w:r>
        <w:rPr>
          <w:spacing w:val="-55"/>
        </w:rPr>
        <w:t xml:space="preserve"> </w:t>
      </w:r>
      <w:r>
        <w:rPr>
          <w:spacing w:val="-6"/>
        </w:rPr>
        <w:t>5000</w:t>
      </w:r>
      <w:r>
        <w:rPr>
          <w:spacing w:val="-49"/>
        </w:rPr>
        <w:t xml:space="preserve"> </w:t>
      </w:r>
      <w:r>
        <w:rPr>
          <w:spacing w:val="-6"/>
        </w:rPr>
        <w:t>万元</w:t>
      </w:r>
      <w:r>
        <w:rPr>
          <w:spacing w:val="12"/>
        </w:rPr>
        <w:t>），</w:t>
      </w:r>
      <w:r>
        <w:rPr>
          <w:spacing w:val="-6"/>
        </w:rPr>
        <w:t>最高</w:t>
      </w:r>
      <w:r>
        <w:rPr>
          <w:spacing w:val="-59"/>
        </w:rPr>
        <w:t xml:space="preserve"> </w:t>
      </w:r>
      <w:r>
        <w:rPr>
          <w:spacing w:val="-6"/>
        </w:rPr>
        <w:t>9%；</w:t>
      </w:r>
    </w:p>
    <w:p w14:paraId="2AC41BDF">
      <w:pPr>
        <w:pStyle w:val="2"/>
        <w:spacing w:before="122" w:line="223" w:lineRule="auto"/>
        <w:ind w:left="588"/>
      </w:pPr>
      <w:r>
        <w:rPr>
          <w:spacing w:val="-5"/>
        </w:rPr>
        <w:t>5000</w:t>
      </w:r>
      <w:r>
        <w:rPr>
          <w:spacing w:val="-51"/>
        </w:rPr>
        <w:t xml:space="preserve"> </w:t>
      </w:r>
      <w:r>
        <w:rPr>
          <w:spacing w:val="-5"/>
        </w:rPr>
        <w:t>万元以上,</w:t>
      </w:r>
      <w:r>
        <w:rPr>
          <w:spacing w:val="26"/>
        </w:rPr>
        <w:t xml:space="preserve"> </w:t>
      </w:r>
      <w:r>
        <w:rPr>
          <w:spacing w:val="-5"/>
        </w:rPr>
        <w:t>最高</w:t>
      </w:r>
      <w:r>
        <w:rPr>
          <w:spacing w:val="-61"/>
        </w:rPr>
        <w:t xml:space="preserve"> </w:t>
      </w:r>
      <w:r>
        <w:rPr>
          <w:spacing w:val="-5"/>
        </w:rPr>
        <w:t>6%。</w:t>
      </w:r>
    </w:p>
    <w:p w14:paraId="697BA626">
      <w:pPr>
        <w:pStyle w:val="2"/>
        <w:spacing w:before="123" w:line="223" w:lineRule="auto"/>
        <w:ind w:left="588"/>
      </w:pPr>
      <w:r>
        <w:rPr>
          <w:spacing w:val="-1"/>
        </w:rPr>
        <w:t>有关法律法规规范中禁止风险代理的案件除外。</w:t>
      </w:r>
    </w:p>
    <w:p w14:paraId="4CA5CF54">
      <w:pPr>
        <w:spacing w:line="316" w:lineRule="auto"/>
        <w:rPr>
          <w:rFonts w:ascii="Arial"/>
          <w:sz w:val="21"/>
        </w:rPr>
      </w:pPr>
    </w:p>
    <w:p w14:paraId="0C5561B6">
      <w:pPr>
        <w:pStyle w:val="2"/>
        <w:spacing w:before="98" w:line="221" w:lineRule="auto"/>
        <w:ind w:left="630"/>
        <w:rPr>
          <w:sz w:val="30"/>
          <w:szCs w:val="30"/>
        </w:rPr>
      </w:pPr>
      <w:r>
        <w:rPr>
          <w:b/>
          <w:bCs/>
          <w:spacing w:val="-3"/>
          <w:sz w:val="30"/>
          <w:szCs w:val="30"/>
        </w:rPr>
        <w:t>3、行政诉讼案件和国家赔偿案件收费标准</w:t>
      </w:r>
    </w:p>
    <w:p w14:paraId="3CE18806">
      <w:pPr>
        <w:spacing w:line="337" w:lineRule="auto"/>
        <w:rPr>
          <w:rFonts w:ascii="Arial"/>
          <w:sz w:val="21"/>
        </w:rPr>
      </w:pPr>
    </w:p>
    <w:p w14:paraId="5662F841">
      <w:pPr>
        <w:pStyle w:val="2"/>
        <w:spacing w:before="91" w:line="223" w:lineRule="auto"/>
        <w:ind w:left="592"/>
      </w:pPr>
      <w:r>
        <w:rPr>
          <w:spacing w:val="-4"/>
        </w:rPr>
        <w:t>（1）每件收费：1</w:t>
      </w:r>
      <w:r>
        <w:rPr>
          <w:spacing w:val="-41"/>
        </w:rPr>
        <w:t xml:space="preserve"> </w:t>
      </w:r>
      <w:r>
        <w:rPr>
          <w:spacing w:val="-4"/>
        </w:rPr>
        <w:t>万元－50</w:t>
      </w:r>
      <w:r>
        <w:rPr>
          <w:spacing w:val="-51"/>
        </w:rPr>
        <w:t xml:space="preserve"> </w:t>
      </w:r>
      <w:r>
        <w:rPr>
          <w:spacing w:val="-4"/>
        </w:rPr>
        <w:t>万元；</w:t>
      </w:r>
    </w:p>
    <w:p w14:paraId="413F37F4">
      <w:pPr>
        <w:pStyle w:val="2"/>
        <w:spacing w:before="123" w:line="222" w:lineRule="auto"/>
        <w:ind w:left="592"/>
      </w:pPr>
      <w:r>
        <w:rPr>
          <w:spacing w:val="-2"/>
        </w:rPr>
        <w:t>（2）多个审判阶段的累加收费。</w:t>
      </w:r>
    </w:p>
    <w:p w14:paraId="217466A9">
      <w:pPr>
        <w:pStyle w:val="2"/>
        <w:spacing w:before="120" w:line="304" w:lineRule="auto"/>
        <w:ind w:left="32" w:right="13" w:firstLine="568"/>
      </w:pPr>
      <w:r>
        <w:rPr>
          <w:color w:val="333333"/>
          <w:spacing w:val="-5"/>
        </w:rPr>
        <w:t>法律关系复杂、当事人人数众多、涉外（含涉港、澳、台）、重</w:t>
      </w:r>
      <w:r>
        <w:rPr>
          <w:color w:val="333333"/>
          <w:spacing w:val="18"/>
        </w:rPr>
        <w:t xml:space="preserve"> </w:t>
      </w:r>
      <w:r>
        <w:rPr>
          <w:color w:val="333333"/>
          <w:spacing w:val="-4"/>
        </w:rPr>
        <w:t>大疑难或有重大社会影响的案件，以及涉及撤销、吊销许可、降低资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4"/>
        </w:rPr>
        <w:t>质等级、限制开展生产经营活动、责令停产停业、责令关闭、限制从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1"/>
        </w:rPr>
        <w:t>业等对案件当事人权益有重大影响的行政案件和知识产权类行政案</w:t>
      </w:r>
      <w:r>
        <w:rPr>
          <w:color w:val="333333"/>
          <w:spacing w:val="5"/>
        </w:rPr>
        <w:t xml:space="preserve">  </w:t>
      </w:r>
      <w:r>
        <w:rPr>
          <w:color w:val="333333"/>
          <w:spacing w:val="1"/>
        </w:rPr>
        <w:t>件，代理费为上述标准的2</w:t>
      </w:r>
      <w:r>
        <w:rPr>
          <w:spacing w:val="1"/>
        </w:rPr>
        <w:t>－</w:t>
      </w:r>
      <w:r>
        <w:rPr>
          <w:color w:val="333333"/>
          <w:spacing w:val="1"/>
        </w:rPr>
        <w:t>10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1"/>
        </w:rPr>
        <w:t>倍。</w:t>
      </w:r>
    </w:p>
    <w:p w14:paraId="1DD47DB8">
      <w:pPr>
        <w:pStyle w:val="2"/>
        <w:spacing w:before="276" w:line="228" w:lineRule="auto"/>
        <w:ind w:left="39"/>
        <w:rPr>
          <w:sz w:val="31"/>
          <w:szCs w:val="31"/>
        </w:rPr>
      </w:pPr>
      <w:r>
        <w:rPr>
          <w:b/>
          <w:bCs/>
          <w:spacing w:val="5"/>
          <w:sz w:val="31"/>
          <w:szCs w:val="31"/>
        </w:rPr>
        <w:t>（二）非诉案件收费标准</w:t>
      </w:r>
    </w:p>
    <w:p w14:paraId="052012F1">
      <w:pPr>
        <w:pStyle w:val="2"/>
        <w:spacing w:before="249" w:line="222" w:lineRule="auto"/>
        <w:ind w:left="646"/>
        <w:rPr>
          <w:sz w:val="30"/>
          <w:szCs w:val="30"/>
        </w:rPr>
      </w:pPr>
      <w:r>
        <w:rPr>
          <w:b/>
          <w:bCs/>
          <w:spacing w:val="-6"/>
          <w:sz w:val="30"/>
          <w:szCs w:val="30"/>
        </w:rPr>
        <w:t>1、咨询服务收费标准</w:t>
      </w:r>
    </w:p>
    <w:p w14:paraId="4D0714A9">
      <w:pPr>
        <w:pStyle w:val="2"/>
        <w:spacing w:before="116" w:line="223" w:lineRule="auto"/>
        <w:ind w:left="601"/>
      </w:pPr>
      <w:r>
        <w:rPr>
          <w:spacing w:val="-2"/>
        </w:rPr>
        <w:t>每小时收费（不满一小时按照一小时收费</w:t>
      </w:r>
      <w:r>
        <w:rPr>
          <w:spacing w:val="3"/>
        </w:rPr>
        <w:t>）：</w:t>
      </w:r>
    </w:p>
    <w:p w14:paraId="251D029F">
      <w:pPr>
        <w:pStyle w:val="2"/>
        <w:spacing w:before="122" w:line="223" w:lineRule="auto"/>
        <w:ind w:left="590"/>
      </w:pPr>
      <w:r>
        <w:rPr>
          <w:spacing w:val="-4"/>
        </w:rPr>
        <w:t>执业律师：500</w:t>
      </w:r>
      <w:r>
        <w:rPr>
          <w:spacing w:val="-46"/>
        </w:rPr>
        <w:t xml:space="preserve"> </w:t>
      </w:r>
      <w:r>
        <w:rPr>
          <w:spacing w:val="-4"/>
        </w:rPr>
        <w:t>元－3000</w:t>
      </w:r>
      <w:r>
        <w:rPr>
          <w:spacing w:val="-47"/>
        </w:rPr>
        <w:t xml:space="preserve"> </w:t>
      </w:r>
      <w:r>
        <w:rPr>
          <w:spacing w:val="-4"/>
        </w:rPr>
        <w:t>元；</w:t>
      </w:r>
    </w:p>
    <w:p w14:paraId="5DD57A5C">
      <w:pPr>
        <w:pStyle w:val="2"/>
        <w:spacing w:before="121" w:line="223" w:lineRule="auto"/>
        <w:ind w:left="599"/>
      </w:pPr>
      <w:r>
        <w:rPr>
          <w:spacing w:val="-5"/>
        </w:rPr>
        <w:t>合伙人律师：1000</w:t>
      </w:r>
      <w:r>
        <w:rPr>
          <w:spacing w:val="-36"/>
        </w:rPr>
        <w:t xml:space="preserve"> </w:t>
      </w:r>
      <w:r>
        <w:rPr>
          <w:spacing w:val="-5"/>
        </w:rPr>
        <w:t>元－1</w:t>
      </w:r>
      <w:r>
        <w:rPr>
          <w:spacing w:val="-48"/>
        </w:rPr>
        <w:t xml:space="preserve"> </w:t>
      </w:r>
      <w:r>
        <w:rPr>
          <w:spacing w:val="-5"/>
        </w:rPr>
        <w:t>万元。</w:t>
      </w:r>
    </w:p>
    <w:p w14:paraId="366991BE">
      <w:pPr>
        <w:pStyle w:val="2"/>
        <w:spacing w:before="106" w:line="222" w:lineRule="auto"/>
        <w:ind w:left="628"/>
        <w:rPr>
          <w:sz w:val="30"/>
          <w:szCs w:val="30"/>
        </w:rPr>
      </w:pPr>
      <w:r>
        <w:rPr>
          <w:b/>
          <w:bCs/>
          <w:spacing w:val="-4"/>
          <w:sz w:val="30"/>
          <w:szCs w:val="30"/>
        </w:rPr>
        <w:t>2、法治培训收费标准</w:t>
      </w:r>
    </w:p>
    <w:p w14:paraId="3B11D302">
      <w:pPr>
        <w:pStyle w:val="2"/>
        <w:spacing w:before="116" w:line="227" w:lineRule="auto"/>
        <w:ind w:left="586"/>
      </w:pPr>
      <w:r>
        <w:rPr>
          <w:spacing w:val="-6"/>
        </w:rPr>
        <w:t>2000</w:t>
      </w:r>
      <w:r>
        <w:rPr>
          <w:spacing w:val="-43"/>
        </w:rPr>
        <w:t xml:space="preserve"> </w:t>
      </w:r>
      <w:r>
        <w:rPr>
          <w:spacing w:val="-6"/>
        </w:rPr>
        <w:t>元－2</w:t>
      </w:r>
      <w:r>
        <w:rPr>
          <w:spacing w:val="-48"/>
        </w:rPr>
        <w:t xml:space="preserve"> </w:t>
      </w:r>
      <w:r>
        <w:rPr>
          <w:spacing w:val="-6"/>
        </w:rPr>
        <w:t>万元。</w:t>
      </w:r>
    </w:p>
    <w:p w14:paraId="531076A5">
      <w:pPr>
        <w:spacing w:line="227" w:lineRule="auto"/>
        <w:sectPr>
          <w:footerReference r:id="rId8" w:type="default"/>
          <w:pgSz w:w="11906" w:h="16839"/>
          <w:pgMar w:top="1089" w:right="1785" w:bottom="959" w:left="1785" w:header="0" w:footer="745" w:gutter="0"/>
          <w:cols w:space="720" w:num="1"/>
        </w:sectPr>
      </w:pPr>
    </w:p>
    <w:p w14:paraId="486A1988">
      <w:pPr>
        <w:pStyle w:val="2"/>
        <w:spacing w:before="61" w:line="222" w:lineRule="auto"/>
        <w:ind w:left="630"/>
        <w:rPr>
          <w:sz w:val="30"/>
          <w:szCs w:val="30"/>
        </w:rPr>
      </w:pPr>
      <w:r>
        <w:rPr>
          <w:b/>
          <w:bCs/>
          <w:spacing w:val="-4"/>
          <w:sz w:val="30"/>
          <w:szCs w:val="30"/>
        </w:rPr>
        <w:t>3、商务谈判收费标准</w:t>
      </w:r>
    </w:p>
    <w:p w14:paraId="06B41D50">
      <w:pPr>
        <w:pStyle w:val="2"/>
        <w:spacing w:before="115" w:line="224" w:lineRule="auto"/>
        <w:ind w:left="586"/>
      </w:pPr>
      <w:r>
        <w:rPr>
          <w:spacing w:val="-5"/>
        </w:rPr>
        <w:t>2000</w:t>
      </w:r>
      <w:r>
        <w:rPr>
          <w:spacing w:val="-35"/>
        </w:rPr>
        <w:t xml:space="preserve"> </w:t>
      </w:r>
      <w:r>
        <w:rPr>
          <w:spacing w:val="-5"/>
        </w:rPr>
        <w:t>元－2</w:t>
      </w:r>
      <w:r>
        <w:rPr>
          <w:spacing w:val="-49"/>
        </w:rPr>
        <w:t xml:space="preserve"> </w:t>
      </w:r>
      <w:r>
        <w:rPr>
          <w:spacing w:val="-5"/>
        </w:rPr>
        <w:t>万元/次/人。</w:t>
      </w:r>
    </w:p>
    <w:p w14:paraId="1ADD283B">
      <w:pPr>
        <w:pStyle w:val="2"/>
        <w:spacing w:before="105" w:line="222" w:lineRule="auto"/>
        <w:ind w:left="623"/>
        <w:rPr>
          <w:sz w:val="30"/>
          <w:szCs w:val="30"/>
        </w:rPr>
      </w:pPr>
      <w:r>
        <w:rPr>
          <w:b/>
          <w:bCs/>
          <w:spacing w:val="-3"/>
          <w:sz w:val="30"/>
          <w:szCs w:val="30"/>
        </w:rPr>
        <w:t>4、驻场法律服务收费标准</w:t>
      </w:r>
    </w:p>
    <w:p w14:paraId="44BEC0AE">
      <w:pPr>
        <w:pStyle w:val="2"/>
        <w:spacing w:before="113" w:line="223" w:lineRule="auto"/>
        <w:ind w:left="590"/>
      </w:pPr>
      <w:r>
        <w:rPr>
          <w:spacing w:val="-4"/>
        </w:rPr>
        <w:t>执业律师：1500</w:t>
      </w:r>
      <w:r>
        <w:rPr>
          <w:spacing w:val="-48"/>
        </w:rPr>
        <w:t xml:space="preserve"> </w:t>
      </w:r>
      <w:r>
        <w:rPr>
          <w:spacing w:val="-4"/>
        </w:rPr>
        <w:t>元－1</w:t>
      </w:r>
      <w:r>
        <w:rPr>
          <w:spacing w:val="-49"/>
        </w:rPr>
        <w:t xml:space="preserve"> </w:t>
      </w:r>
      <w:r>
        <w:rPr>
          <w:spacing w:val="-4"/>
        </w:rPr>
        <w:t>万元/人/天（8</w:t>
      </w:r>
      <w:r>
        <w:rPr>
          <w:spacing w:val="-53"/>
        </w:rPr>
        <w:t xml:space="preserve"> </w:t>
      </w:r>
      <w:r>
        <w:rPr>
          <w:spacing w:val="-4"/>
        </w:rPr>
        <w:t>小时</w:t>
      </w:r>
      <w:r>
        <w:rPr>
          <w:spacing w:val="4"/>
        </w:rPr>
        <w:t>）；</w:t>
      </w:r>
    </w:p>
    <w:p w14:paraId="409F21A5">
      <w:pPr>
        <w:pStyle w:val="2"/>
        <w:spacing w:before="123" w:line="223" w:lineRule="auto"/>
        <w:ind w:left="599"/>
      </w:pPr>
      <w:r>
        <w:rPr>
          <w:spacing w:val="-4"/>
        </w:rPr>
        <w:t>合伙人律师：2000</w:t>
      </w:r>
      <w:r>
        <w:rPr>
          <w:spacing w:val="-36"/>
        </w:rPr>
        <w:t xml:space="preserve"> </w:t>
      </w:r>
      <w:r>
        <w:rPr>
          <w:spacing w:val="-4"/>
        </w:rPr>
        <w:t>元－2</w:t>
      </w:r>
      <w:r>
        <w:rPr>
          <w:spacing w:val="-49"/>
        </w:rPr>
        <w:t xml:space="preserve"> </w:t>
      </w:r>
      <w:r>
        <w:rPr>
          <w:spacing w:val="-4"/>
        </w:rPr>
        <w:t>万元/人/天（8</w:t>
      </w:r>
      <w:r>
        <w:rPr>
          <w:spacing w:val="-53"/>
        </w:rPr>
        <w:t xml:space="preserve"> </w:t>
      </w:r>
      <w:r>
        <w:rPr>
          <w:spacing w:val="-4"/>
        </w:rPr>
        <w:t>小时）。</w:t>
      </w:r>
    </w:p>
    <w:p w14:paraId="150D53CD">
      <w:pPr>
        <w:pStyle w:val="2"/>
        <w:spacing w:before="106" w:line="222" w:lineRule="auto"/>
        <w:ind w:left="630"/>
        <w:rPr>
          <w:sz w:val="30"/>
          <w:szCs w:val="30"/>
        </w:rPr>
      </w:pPr>
      <w:r>
        <w:rPr>
          <w:b/>
          <w:bCs/>
          <w:spacing w:val="-4"/>
          <w:sz w:val="30"/>
          <w:szCs w:val="30"/>
        </w:rPr>
        <w:t>5、文书服务收费标准</w:t>
      </w:r>
    </w:p>
    <w:p w14:paraId="2C657CE3">
      <w:pPr>
        <w:pStyle w:val="2"/>
        <w:spacing w:before="114" w:line="223" w:lineRule="auto"/>
        <w:jc w:val="right"/>
      </w:pPr>
      <w:r>
        <w:rPr>
          <w:spacing w:val="-2"/>
        </w:rPr>
        <w:t>（1）代为撰写、修改、审查法律文书，每份文书收费：1</w:t>
      </w:r>
      <w:r>
        <w:rPr>
          <w:spacing w:val="-3"/>
        </w:rPr>
        <w:t>000</w:t>
      </w:r>
      <w:r>
        <w:rPr>
          <w:spacing w:val="-49"/>
        </w:rPr>
        <w:t xml:space="preserve"> </w:t>
      </w:r>
      <w:r>
        <w:rPr>
          <w:spacing w:val="-3"/>
        </w:rPr>
        <w:t>元</w:t>
      </w:r>
    </w:p>
    <w:p w14:paraId="6A346567">
      <w:pPr>
        <w:pStyle w:val="2"/>
        <w:spacing w:before="122" w:line="227" w:lineRule="auto"/>
        <w:ind w:left="50"/>
      </w:pPr>
      <w:r>
        <w:rPr>
          <w:spacing w:val="17"/>
        </w:rPr>
        <w:t>-5</w:t>
      </w:r>
      <w:r>
        <w:rPr>
          <w:spacing w:val="-51"/>
        </w:rPr>
        <w:t xml:space="preserve"> </w:t>
      </w:r>
      <w:r>
        <w:rPr>
          <w:spacing w:val="17"/>
        </w:rPr>
        <w:t>万元。</w:t>
      </w:r>
    </w:p>
    <w:p w14:paraId="7D191DF9">
      <w:pPr>
        <w:pStyle w:val="2"/>
        <w:spacing w:before="117" w:line="223" w:lineRule="auto"/>
        <w:ind w:left="592"/>
      </w:pPr>
      <w:r>
        <w:rPr>
          <w:spacing w:val="-3"/>
        </w:rPr>
        <w:t>（2）出具律师函每份收费：2000</w:t>
      </w:r>
      <w:r>
        <w:rPr>
          <w:spacing w:val="-36"/>
        </w:rPr>
        <w:t xml:space="preserve"> </w:t>
      </w:r>
      <w:r>
        <w:rPr>
          <w:spacing w:val="-3"/>
        </w:rPr>
        <w:t>元－10</w:t>
      </w:r>
      <w:r>
        <w:rPr>
          <w:spacing w:val="-51"/>
        </w:rPr>
        <w:t xml:space="preserve"> </w:t>
      </w:r>
      <w:r>
        <w:rPr>
          <w:spacing w:val="-3"/>
        </w:rPr>
        <w:t>万元。</w:t>
      </w:r>
    </w:p>
    <w:p w14:paraId="2D38E5F6">
      <w:pPr>
        <w:pStyle w:val="2"/>
        <w:spacing w:before="120" w:line="223" w:lineRule="auto"/>
        <w:ind w:left="592"/>
      </w:pPr>
      <w:r>
        <w:rPr>
          <w:spacing w:val="-2"/>
        </w:rPr>
        <w:t>（3）出具法律意见书，每份收费：2</w:t>
      </w:r>
      <w:r>
        <w:rPr>
          <w:spacing w:val="-51"/>
        </w:rPr>
        <w:t xml:space="preserve"> </w:t>
      </w:r>
      <w:r>
        <w:rPr>
          <w:spacing w:val="-2"/>
        </w:rPr>
        <w:t>万元</w:t>
      </w:r>
      <w:r>
        <w:rPr>
          <w:spacing w:val="-3"/>
        </w:rPr>
        <w:t>－50</w:t>
      </w:r>
      <w:r>
        <w:rPr>
          <w:spacing w:val="-51"/>
        </w:rPr>
        <w:t xml:space="preserve"> </w:t>
      </w:r>
      <w:r>
        <w:rPr>
          <w:spacing w:val="-3"/>
        </w:rPr>
        <w:t>万元。</w:t>
      </w:r>
    </w:p>
    <w:p w14:paraId="2AF44665">
      <w:pPr>
        <w:pStyle w:val="2"/>
        <w:spacing w:before="107" w:line="222" w:lineRule="auto"/>
        <w:ind w:left="626"/>
        <w:rPr>
          <w:sz w:val="30"/>
          <w:szCs w:val="30"/>
        </w:rPr>
      </w:pPr>
      <w:r>
        <w:rPr>
          <w:b/>
          <w:bCs/>
          <w:spacing w:val="-3"/>
          <w:sz w:val="30"/>
          <w:szCs w:val="30"/>
        </w:rPr>
        <w:t>6、聘用常年法律顾问收费标准</w:t>
      </w:r>
    </w:p>
    <w:p w14:paraId="4EA0A651">
      <w:pPr>
        <w:pStyle w:val="2"/>
        <w:spacing w:before="116" w:line="223" w:lineRule="auto"/>
        <w:ind w:left="592"/>
      </w:pPr>
      <w:r>
        <w:rPr>
          <w:spacing w:val="-3"/>
        </w:rPr>
        <w:t>（1）个人法律顾问收费标准：5</w:t>
      </w:r>
      <w:r>
        <w:rPr>
          <w:spacing w:val="-37"/>
        </w:rPr>
        <w:t xml:space="preserve"> </w:t>
      </w:r>
      <w:r>
        <w:rPr>
          <w:spacing w:val="-3"/>
        </w:rPr>
        <w:t>万元－50</w:t>
      </w:r>
      <w:r>
        <w:rPr>
          <w:spacing w:val="-51"/>
        </w:rPr>
        <w:t xml:space="preserve"> </w:t>
      </w:r>
      <w:r>
        <w:rPr>
          <w:spacing w:val="-3"/>
        </w:rPr>
        <w:t>万元。</w:t>
      </w:r>
    </w:p>
    <w:p w14:paraId="1BD92912">
      <w:pPr>
        <w:pStyle w:val="2"/>
        <w:spacing w:before="120" w:line="222" w:lineRule="auto"/>
        <w:ind w:left="592"/>
      </w:pPr>
      <w:r>
        <w:rPr>
          <w:spacing w:val="-2"/>
        </w:rPr>
        <w:t>（2）村委会、居委会法律顾问收费标准：5</w:t>
      </w:r>
      <w:r>
        <w:rPr>
          <w:spacing w:val="-51"/>
        </w:rPr>
        <w:t xml:space="preserve"> </w:t>
      </w:r>
      <w:r>
        <w:rPr>
          <w:spacing w:val="-2"/>
        </w:rPr>
        <w:t>万元－50</w:t>
      </w:r>
      <w:r>
        <w:rPr>
          <w:spacing w:val="-51"/>
        </w:rPr>
        <w:t xml:space="preserve"> </w:t>
      </w:r>
      <w:r>
        <w:rPr>
          <w:spacing w:val="-2"/>
        </w:rPr>
        <w:t>万元。</w:t>
      </w:r>
    </w:p>
    <w:p w14:paraId="47A5C281">
      <w:pPr>
        <w:pStyle w:val="2"/>
        <w:spacing w:before="123" w:line="222" w:lineRule="auto"/>
        <w:ind w:left="592"/>
      </w:pPr>
      <w:r>
        <w:rPr>
          <w:spacing w:val="-2"/>
        </w:rPr>
        <w:t>（3）企事业单位法律顾问收费标准：5</w:t>
      </w:r>
      <w:r>
        <w:rPr>
          <w:spacing w:val="-48"/>
        </w:rPr>
        <w:t xml:space="preserve"> </w:t>
      </w:r>
      <w:r>
        <w:rPr>
          <w:spacing w:val="-2"/>
        </w:rPr>
        <w:t>万元－1</w:t>
      </w:r>
      <w:r>
        <w:rPr>
          <w:spacing w:val="-3"/>
        </w:rPr>
        <w:t>00</w:t>
      </w:r>
      <w:r>
        <w:rPr>
          <w:spacing w:val="-51"/>
        </w:rPr>
        <w:t xml:space="preserve"> </w:t>
      </w:r>
      <w:r>
        <w:rPr>
          <w:spacing w:val="-3"/>
        </w:rPr>
        <w:t>万元。</w:t>
      </w:r>
    </w:p>
    <w:p w14:paraId="6C83D2EE">
      <w:pPr>
        <w:pStyle w:val="2"/>
        <w:spacing w:before="126" w:line="222" w:lineRule="auto"/>
        <w:ind w:left="592"/>
      </w:pPr>
      <w:r>
        <w:rPr>
          <w:spacing w:val="-2"/>
        </w:rPr>
        <w:t>（4）政府及政府部门法律顾问收费标准：10</w:t>
      </w:r>
      <w:r>
        <w:rPr>
          <w:spacing w:val="-49"/>
        </w:rPr>
        <w:t xml:space="preserve"> </w:t>
      </w:r>
      <w:r>
        <w:rPr>
          <w:spacing w:val="-2"/>
        </w:rPr>
        <w:t>万元－100</w:t>
      </w:r>
      <w:r>
        <w:rPr>
          <w:spacing w:val="-48"/>
        </w:rPr>
        <w:t xml:space="preserve"> </w:t>
      </w:r>
      <w:r>
        <w:rPr>
          <w:spacing w:val="-2"/>
        </w:rPr>
        <w:t>万元。</w:t>
      </w:r>
    </w:p>
    <w:p w14:paraId="6F6F3C34">
      <w:pPr>
        <w:pStyle w:val="2"/>
        <w:spacing w:before="105" w:line="222" w:lineRule="auto"/>
        <w:ind w:left="631"/>
        <w:rPr>
          <w:sz w:val="30"/>
          <w:szCs w:val="30"/>
        </w:rPr>
      </w:pPr>
      <w:r>
        <w:rPr>
          <w:b/>
          <w:bCs/>
          <w:spacing w:val="-4"/>
          <w:sz w:val="30"/>
          <w:szCs w:val="30"/>
        </w:rPr>
        <w:t>7、专项法律顾问收费标准</w:t>
      </w:r>
    </w:p>
    <w:p w14:paraId="67E54D6D">
      <w:pPr>
        <w:pStyle w:val="2"/>
        <w:spacing w:before="116" w:line="223" w:lineRule="auto"/>
        <w:ind w:left="601"/>
      </w:pPr>
      <w:r>
        <w:rPr>
          <w:spacing w:val="-5"/>
        </w:rPr>
        <w:t>每件收费：2</w:t>
      </w:r>
      <w:r>
        <w:rPr>
          <w:spacing w:val="-42"/>
        </w:rPr>
        <w:t xml:space="preserve"> </w:t>
      </w:r>
      <w:r>
        <w:rPr>
          <w:spacing w:val="-5"/>
        </w:rPr>
        <w:t>万元－200</w:t>
      </w:r>
      <w:r>
        <w:rPr>
          <w:spacing w:val="-51"/>
        </w:rPr>
        <w:t xml:space="preserve"> </w:t>
      </w:r>
      <w:r>
        <w:rPr>
          <w:spacing w:val="-5"/>
        </w:rPr>
        <w:t>万元。</w:t>
      </w:r>
    </w:p>
    <w:p w14:paraId="62A3340F">
      <w:pPr>
        <w:pStyle w:val="2"/>
        <w:spacing w:before="124" w:line="287" w:lineRule="auto"/>
        <w:ind w:left="41" w:right="13" w:firstLine="560"/>
        <w:rPr>
          <w:sz w:val="30"/>
          <w:szCs w:val="30"/>
        </w:rPr>
      </w:pPr>
      <w:r>
        <w:rPr>
          <w:spacing w:val="-5"/>
        </w:rPr>
        <w:t>注：以上专项法律服务需要提供驻场法律服务的，另行收取驻场</w:t>
      </w:r>
      <w:r>
        <w:rPr>
          <w:spacing w:val="17"/>
        </w:rPr>
        <w:t xml:space="preserve"> </w:t>
      </w:r>
      <w:r>
        <w:rPr>
          <w:spacing w:val="-5"/>
        </w:rPr>
        <w:t>法律</w:t>
      </w:r>
      <w:r>
        <w:rPr>
          <w:spacing w:val="-5"/>
          <w:sz w:val="30"/>
          <w:szCs w:val="30"/>
        </w:rPr>
        <w:t>服务费。</w:t>
      </w:r>
    </w:p>
    <w:p w14:paraId="621EA08C">
      <w:pPr>
        <w:pStyle w:val="2"/>
        <w:spacing w:line="222" w:lineRule="auto"/>
        <w:ind w:left="625"/>
        <w:rPr>
          <w:sz w:val="30"/>
          <w:szCs w:val="30"/>
        </w:rPr>
      </w:pPr>
      <w:r>
        <w:rPr>
          <w:b/>
          <w:bCs/>
          <w:spacing w:val="-4"/>
          <w:sz w:val="30"/>
          <w:szCs w:val="30"/>
        </w:rPr>
        <w:t>8、</w:t>
      </w:r>
      <w:r>
        <w:rPr>
          <w:spacing w:val="-4"/>
          <w:sz w:val="30"/>
          <w:szCs w:val="30"/>
        </w:rPr>
        <w:t xml:space="preserve"> </w:t>
      </w:r>
      <w:r>
        <w:rPr>
          <w:b/>
          <w:bCs/>
          <w:spacing w:val="-4"/>
          <w:sz w:val="30"/>
          <w:szCs w:val="30"/>
        </w:rPr>
        <w:t>律师调查收费标准</w:t>
      </w:r>
    </w:p>
    <w:p w14:paraId="608DEB49">
      <w:pPr>
        <w:pStyle w:val="2"/>
        <w:spacing w:before="116" w:line="223" w:lineRule="auto"/>
        <w:ind w:left="601"/>
      </w:pPr>
      <w:r>
        <w:rPr>
          <w:color w:val="333333"/>
          <w:spacing w:val="-5"/>
        </w:rPr>
        <w:t>每件收费：2000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5"/>
        </w:rPr>
        <w:t>元</w:t>
      </w:r>
      <w:r>
        <w:rPr>
          <w:spacing w:val="-5"/>
        </w:rPr>
        <w:t>－</w:t>
      </w:r>
      <w:r>
        <w:rPr>
          <w:color w:val="333333"/>
          <w:spacing w:val="-5"/>
        </w:rPr>
        <w:t>10</w:t>
      </w:r>
      <w:r>
        <w:rPr>
          <w:color w:val="333333"/>
          <w:spacing w:val="-51"/>
        </w:rPr>
        <w:t xml:space="preserve"> </w:t>
      </w:r>
      <w:r>
        <w:rPr>
          <w:color w:val="333333"/>
          <w:spacing w:val="-5"/>
        </w:rPr>
        <w:t>万元。</w:t>
      </w:r>
    </w:p>
    <w:p w14:paraId="5458406A">
      <w:pPr>
        <w:spacing w:line="254" w:lineRule="auto"/>
        <w:rPr>
          <w:rFonts w:ascii="Arial"/>
          <w:sz w:val="21"/>
        </w:rPr>
      </w:pPr>
    </w:p>
    <w:p w14:paraId="499AEB15">
      <w:pPr>
        <w:spacing w:line="254" w:lineRule="auto"/>
        <w:rPr>
          <w:rFonts w:ascii="Arial"/>
          <w:sz w:val="21"/>
        </w:rPr>
      </w:pPr>
    </w:p>
    <w:p w14:paraId="2C6DA5AD">
      <w:pPr>
        <w:spacing w:line="254" w:lineRule="auto"/>
        <w:rPr>
          <w:rFonts w:ascii="Arial"/>
          <w:sz w:val="21"/>
        </w:rPr>
      </w:pPr>
    </w:p>
    <w:p w14:paraId="6D1444FE">
      <w:pPr>
        <w:spacing w:line="255" w:lineRule="auto"/>
        <w:rPr>
          <w:rFonts w:ascii="Arial"/>
          <w:sz w:val="21"/>
        </w:rPr>
      </w:pPr>
    </w:p>
    <w:p w14:paraId="5AD74BB8">
      <w:pPr>
        <w:spacing w:line="255" w:lineRule="auto"/>
        <w:rPr>
          <w:rFonts w:ascii="Arial"/>
          <w:sz w:val="21"/>
        </w:rPr>
      </w:pPr>
    </w:p>
    <w:p w14:paraId="253A7803">
      <w:pPr>
        <w:spacing w:line="255" w:lineRule="auto"/>
        <w:rPr>
          <w:rFonts w:ascii="Arial"/>
          <w:sz w:val="21"/>
        </w:rPr>
      </w:pPr>
    </w:p>
    <w:p w14:paraId="241FFC36">
      <w:pPr>
        <w:spacing w:line="255" w:lineRule="auto"/>
        <w:rPr>
          <w:rFonts w:ascii="Arial"/>
          <w:sz w:val="21"/>
        </w:rPr>
      </w:pPr>
    </w:p>
    <w:p w14:paraId="6FB662AE">
      <w:pPr>
        <w:pStyle w:val="2"/>
        <w:spacing w:before="114" w:line="228" w:lineRule="auto"/>
        <w:ind w:left="4727"/>
        <w:rPr>
          <w:sz w:val="35"/>
          <w:szCs w:val="35"/>
        </w:rPr>
      </w:pPr>
      <w:r>
        <w:rPr>
          <w:b/>
          <w:bCs/>
          <w:spacing w:val="3"/>
          <w:sz w:val="35"/>
          <w:szCs w:val="35"/>
        </w:rPr>
        <w:t>北京智深律师事务所</w:t>
      </w:r>
    </w:p>
    <w:p w14:paraId="6C3A78C8">
      <w:pPr>
        <w:pStyle w:val="2"/>
        <w:spacing w:before="341" w:line="228" w:lineRule="auto"/>
        <w:ind w:left="5431"/>
        <w:rPr>
          <w:sz w:val="35"/>
          <w:szCs w:val="35"/>
        </w:rPr>
      </w:pPr>
      <w:r>
        <w:rPr>
          <w:b/>
          <w:bCs/>
          <w:spacing w:val="-11"/>
          <w:sz w:val="35"/>
          <w:szCs w:val="35"/>
        </w:rPr>
        <w:t>202</w:t>
      </w:r>
      <w:r>
        <w:rPr>
          <w:rFonts w:hint="eastAsia"/>
          <w:b/>
          <w:bCs/>
          <w:spacing w:val="-11"/>
          <w:sz w:val="35"/>
          <w:szCs w:val="35"/>
          <w:lang w:val="en-US" w:eastAsia="zh-CN"/>
        </w:rPr>
        <w:t>5</w:t>
      </w:r>
      <w:bookmarkStart w:id="0" w:name="_GoBack"/>
      <w:bookmarkEnd w:id="0"/>
      <w:r>
        <w:rPr>
          <w:spacing w:val="-50"/>
          <w:sz w:val="35"/>
          <w:szCs w:val="35"/>
        </w:rPr>
        <w:t xml:space="preserve"> </w:t>
      </w:r>
      <w:r>
        <w:rPr>
          <w:b/>
          <w:bCs/>
          <w:spacing w:val="-11"/>
          <w:sz w:val="35"/>
          <w:szCs w:val="35"/>
        </w:rPr>
        <w:t>年</w:t>
      </w:r>
      <w:r>
        <w:rPr>
          <w:spacing w:val="-45"/>
          <w:sz w:val="35"/>
          <w:szCs w:val="35"/>
        </w:rPr>
        <w:t xml:space="preserve"> </w:t>
      </w:r>
      <w:r>
        <w:rPr>
          <w:b/>
          <w:bCs/>
          <w:spacing w:val="-11"/>
          <w:sz w:val="35"/>
          <w:szCs w:val="35"/>
        </w:rPr>
        <w:t>1</w:t>
      </w:r>
      <w:r>
        <w:rPr>
          <w:spacing w:val="-43"/>
          <w:sz w:val="35"/>
          <w:szCs w:val="35"/>
        </w:rPr>
        <w:t xml:space="preserve"> </w:t>
      </w:r>
      <w:r>
        <w:rPr>
          <w:b/>
          <w:bCs/>
          <w:spacing w:val="-11"/>
          <w:sz w:val="35"/>
          <w:szCs w:val="35"/>
        </w:rPr>
        <w:t>月</w:t>
      </w:r>
    </w:p>
    <w:sectPr>
      <w:footerReference r:id="rId9" w:type="default"/>
      <w:pgSz w:w="11906" w:h="16839"/>
      <w:pgMar w:top="1069" w:right="1785" w:bottom="959" w:left="1785" w:header="0" w:footer="74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29478C">
    <w:pPr>
      <w:spacing w:line="209" w:lineRule="auto"/>
      <w:ind w:left="3498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18"/>
        <w:sz w:val="18"/>
        <w:szCs w:val="18"/>
      </w:rPr>
      <w:t xml:space="preserve"> </w:t>
    </w:r>
    <w:r>
      <w:rPr>
        <w:rFonts w:ascii="Calibri" w:hAnsi="Calibri" w:eastAsia="Calibri" w:cs="Calibri"/>
        <w:spacing w:val="-9"/>
        <w:sz w:val="18"/>
        <w:szCs w:val="18"/>
      </w:rPr>
      <w:t>1</w:t>
    </w:r>
    <w:r>
      <w:rPr>
        <w:rFonts w:ascii="Calibri" w:hAnsi="Calibri" w:eastAsia="Calibri" w:cs="Calibri"/>
        <w:spacing w:val="10"/>
        <w:w w:val="101"/>
        <w:sz w:val="18"/>
        <w:szCs w:val="18"/>
      </w:rPr>
      <w:t xml:space="preserve">  </w:t>
    </w:r>
    <w:r>
      <w:rPr>
        <w:rFonts w:ascii="宋体" w:hAnsi="宋体" w:eastAsia="宋体" w:cs="宋体"/>
        <w:spacing w:val="-9"/>
        <w:sz w:val="18"/>
        <w:szCs w:val="18"/>
      </w:rPr>
      <w:t>页</w:t>
    </w:r>
    <w:r>
      <w:rPr>
        <w:rFonts w:ascii="宋体" w:hAnsi="宋体" w:eastAsia="宋体" w:cs="宋体"/>
        <w:spacing w:val="5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共</w:t>
    </w:r>
    <w:r>
      <w:rPr>
        <w:rFonts w:ascii="宋体" w:hAnsi="宋体" w:eastAsia="宋体" w:cs="宋体"/>
        <w:spacing w:val="10"/>
        <w:sz w:val="18"/>
        <w:szCs w:val="18"/>
      </w:rPr>
      <w:t xml:space="preserve"> </w:t>
    </w:r>
    <w:r>
      <w:rPr>
        <w:rFonts w:ascii="Calibri" w:hAnsi="Calibri" w:eastAsia="Calibri" w:cs="Calibri"/>
        <w:spacing w:val="-9"/>
        <w:sz w:val="18"/>
        <w:szCs w:val="18"/>
      </w:rPr>
      <w:t>5</w:t>
    </w:r>
    <w:r>
      <w:rPr>
        <w:rFonts w:ascii="Calibri" w:hAnsi="Calibri" w:eastAsia="Calibri" w:cs="Calibri"/>
        <w:spacing w:val="9"/>
        <w:sz w:val="18"/>
        <w:szCs w:val="18"/>
      </w:rPr>
      <w:t xml:space="preserve">  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B78B97">
    <w:pPr>
      <w:spacing w:line="209" w:lineRule="auto"/>
      <w:ind w:left="3498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8"/>
        <w:sz w:val="18"/>
        <w:szCs w:val="18"/>
      </w:rPr>
      <w:t>第</w:t>
    </w:r>
    <w:r>
      <w:rPr>
        <w:rFonts w:ascii="宋体" w:hAnsi="宋体" w:eastAsia="宋体" w:cs="宋体"/>
        <w:spacing w:val="12"/>
        <w:sz w:val="18"/>
        <w:szCs w:val="18"/>
      </w:rPr>
      <w:t xml:space="preserve"> </w:t>
    </w:r>
    <w:r>
      <w:rPr>
        <w:rFonts w:ascii="Calibri" w:hAnsi="Calibri" w:eastAsia="Calibri" w:cs="Calibri"/>
        <w:spacing w:val="-8"/>
        <w:sz w:val="18"/>
        <w:szCs w:val="18"/>
      </w:rPr>
      <w:t>2</w:t>
    </w:r>
    <w:r>
      <w:rPr>
        <w:rFonts w:ascii="Calibri" w:hAnsi="Calibri" w:eastAsia="Calibri" w:cs="Calibri"/>
        <w:spacing w:val="10"/>
        <w:w w:val="101"/>
        <w:sz w:val="18"/>
        <w:szCs w:val="18"/>
      </w:rPr>
      <w:t xml:space="preserve">  </w:t>
    </w:r>
    <w:r>
      <w:rPr>
        <w:rFonts w:ascii="宋体" w:hAnsi="宋体" w:eastAsia="宋体" w:cs="宋体"/>
        <w:spacing w:val="-8"/>
        <w:sz w:val="18"/>
        <w:szCs w:val="18"/>
      </w:rPr>
      <w:t>页</w:t>
    </w:r>
    <w:r>
      <w:rPr>
        <w:rFonts w:ascii="宋体" w:hAnsi="宋体" w:eastAsia="宋体" w:cs="宋体"/>
        <w:spacing w:val="5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共</w:t>
    </w:r>
    <w:r>
      <w:rPr>
        <w:rFonts w:ascii="宋体" w:hAnsi="宋体" w:eastAsia="宋体" w:cs="宋体"/>
        <w:spacing w:val="10"/>
        <w:sz w:val="18"/>
        <w:szCs w:val="18"/>
      </w:rPr>
      <w:t xml:space="preserve"> </w:t>
    </w:r>
    <w:r>
      <w:rPr>
        <w:rFonts w:ascii="Calibri" w:hAnsi="Calibri" w:eastAsia="Calibri" w:cs="Calibri"/>
        <w:spacing w:val="-8"/>
        <w:sz w:val="18"/>
        <w:szCs w:val="18"/>
      </w:rPr>
      <w:t>5</w:t>
    </w:r>
    <w:r>
      <w:rPr>
        <w:rFonts w:ascii="Calibri" w:hAnsi="Calibri" w:eastAsia="Calibri" w:cs="Calibri"/>
        <w:spacing w:val="9"/>
        <w:sz w:val="18"/>
        <w:szCs w:val="18"/>
      </w:rPr>
      <w:t xml:space="preserve">  </w:t>
    </w:r>
    <w:r>
      <w:rPr>
        <w:rFonts w:ascii="宋体" w:hAnsi="宋体" w:eastAsia="宋体" w:cs="宋体"/>
        <w:spacing w:val="-8"/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664621">
    <w:pPr>
      <w:spacing w:line="209" w:lineRule="auto"/>
      <w:ind w:left="3506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8"/>
        <w:sz w:val="18"/>
        <w:szCs w:val="18"/>
      </w:rPr>
      <w:t>第</w:t>
    </w:r>
    <w:r>
      <w:rPr>
        <w:rFonts w:ascii="宋体" w:hAnsi="宋体" w:eastAsia="宋体" w:cs="宋体"/>
        <w:spacing w:val="12"/>
        <w:sz w:val="18"/>
        <w:szCs w:val="18"/>
      </w:rPr>
      <w:t xml:space="preserve"> </w:t>
    </w:r>
    <w:r>
      <w:rPr>
        <w:rFonts w:ascii="Calibri" w:hAnsi="Calibri" w:eastAsia="Calibri" w:cs="Calibri"/>
        <w:spacing w:val="-8"/>
        <w:sz w:val="18"/>
        <w:szCs w:val="18"/>
      </w:rPr>
      <w:t>3</w:t>
    </w:r>
    <w:r>
      <w:rPr>
        <w:rFonts w:ascii="Calibri" w:hAnsi="Calibri" w:eastAsia="Calibri" w:cs="Calibri"/>
        <w:spacing w:val="10"/>
        <w:w w:val="101"/>
        <w:sz w:val="18"/>
        <w:szCs w:val="18"/>
      </w:rPr>
      <w:t xml:space="preserve">  </w:t>
    </w:r>
    <w:r>
      <w:rPr>
        <w:rFonts w:ascii="宋体" w:hAnsi="宋体" w:eastAsia="宋体" w:cs="宋体"/>
        <w:spacing w:val="-8"/>
        <w:sz w:val="18"/>
        <w:szCs w:val="18"/>
      </w:rPr>
      <w:t>页</w:t>
    </w:r>
    <w:r>
      <w:rPr>
        <w:rFonts w:ascii="宋体" w:hAnsi="宋体" w:eastAsia="宋体" w:cs="宋体"/>
        <w:spacing w:val="5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共</w:t>
    </w:r>
    <w:r>
      <w:rPr>
        <w:rFonts w:ascii="宋体" w:hAnsi="宋体" w:eastAsia="宋体" w:cs="宋体"/>
        <w:spacing w:val="10"/>
        <w:sz w:val="18"/>
        <w:szCs w:val="18"/>
      </w:rPr>
      <w:t xml:space="preserve"> </w:t>
    </w:r>
    <w:r>
      <w:rPr>
        <w:rFonts w:ascii="Calibri" w:hAnsi="Calibri" w:eastAsia="Calibri" w:cs="Calibri"/>
        <w:spacing w:val="-8"/>
        <w:sz w:val="18"/>
        <w:szCs w:val="18"/>
      </w:rPr>
      <w:t>5</w:t>
    </w:r>
    <w:r>
      <w:rPr>
        <w:rFonts w:ascii="Calibri" w:hAnsi="Calibri" w:eastAsia="Calibri" w:cs="Calibri"/>
        <w:spacing w:val="9"/>
        <w:sz w:val="18"/>
        <w:szCs w:val="18"/>
      </w:rPr>
      <w:t xml:space="preserve">  </w:t>
    </w:r>
    <w:r>
      <w:rPr>
        <w:rFonts w:ascii="宋体" w:hAnsi="宋体" w:eastAsia="宋体" w:cs="宋体"/>
        <w:spacing w:val="-8"/>
        <w:sz w:val="18"/>
        <w:szCs w:val="18"/>
      </w:rPr>
      <w:t>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FF0EB7">
    <w:pPr>
      <w:spacing w:line="209" w:lineRule="auto"/>
      <w:ind w:left="3498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5"/>
        <w:sz w:val="18"/>
        <w:szCs w:val="18"/>
      </w:rPr>
      <w:t xml:space="preserve">第 </w:t>
    </w:r>
    <w:r>
      <w:rPr>
        <w:rFonts w:ascii="Calibri" w:hAnsi="Calibri" w:eastAsia="Calibri" w:cs="Calibri"/>
        <w:spacing w:val="-5"/>
        <w:sz w:val="18"/>
        <w:szCs w:val="18"/>
      </w:rPr>
      <w:t>4</w:t>
    </w:r>
    <w:r>
      <w:rPr>
        <w:rFonts w:ascii="Calibri" w:hAnsi="Calibri" w:eastAsia="Calibri" w:cs="Calibri"/>
        <w:spacing w:val="10"/>
        <w:w w:val="101"/>
        <w:sz w:val="18"/>
        <w:szCs w:val="18"/>
      </w:rPr>
      <w:t xml:space="preserve">  </w:t>
    </w:r>
    <w:r>
      <w:rPr>
        <w:rFonts w:ascii="宋体" w:hAnsi="宋体" w:eastAsia="宋体" w:cs="宋体"/>
        <w:spacing w:val="-5"/>
        <w:sz w:val="18"/>
        <w:szCs w:val="18"/>
      </w:rPr>
      <w:t>页</w:t>
    </w:r>
    <w:r>
      <w:rPr>
        <w:rFonts w:ascii="宋体" w:hAnsi="宋体" w:eastAsia="宋体" w:cs="宋体"/>
        <w:spacing w:val="5"/>
        <w:sz w:val="18"/>
        <w:szCs w:val="18"/>
      </w:rPr>
      <w:t xml:space="preserve"> </w:t>
    </w:r>
    <w:r>
      <w:rPr>
        <w:rFonts w:ascii="宋体" w:hAnsi="宋体" w:eastAsia="宋体" w:cs="宋体"/>
        <w:spacing w:val="-5"/>
        <w:sz w:val="18"/>
        <w:szCs w:val="18"/>
      </w:rPr>
      <w:t>共</w:t>
    </w:r>
    <w:r>
      <w:rPr>
        <w:rFonts w:ascii="宋体" w:hAnsi="宋体" w:eastAsia="宋体" w:cs="宋体"/>
        <w:spacing w:val="10"/>
        <w:sz w:val="18"/>
        <w:szCs w:val="18"/>
      </w:rPr>
      <w:t xml:space="preserve"> </w:t>
    </w:r>
    <w:r>
      <w:rPr>
        <w:rFonts w:ascii="Calibri" w:hAnsi="Calibri" w:eastAsia="Calibri" w:cs="Calibri"/>
        <w:spacing w:val="-5"/>
        <w:sz w:val="18"/>
        <w:szCs w:val="18"/>
      </w:rPr>
      <w:t>5</w:t>
    </w:r>
    <w:r>
      <w:rPr>
        <w:rFonts w:ascii="Calibri" w:hAnsi="Calibri" w:eastAsia="Calibri" w:cs="Calibri"/>
        <w:spacing w:val="9"/>
        <w:sz w:val="18"/>
        <w:szCs w:val="18"/>
      </w:rPr>
      <w:t xml:space="preserve">  </w:t>
    </w:r>
    <w:r>
      <w:rPr>
        <w:rFonts w:ascii="宋体" w:hAnsi="宋体" w:eastAsia="宋体" w:cs="宋体"/>
        <w:spacing w:val="-5"/>
        <w:sz w:val="18"/>
        <w:szCs w:val="18"/>
      </w:rPr>
      <w:t>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0B9B11">
    <w:pPr>
      <w:spacing w:line="209" w:lineRule="auto"/>
      <w:ind w:left="3498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8"/>
        <w:sz w:val="18"/>
        <w:szCs w:val="18"/>
      </w:rPr>
      <w:t>第</w:t>
    </w:r>
    <w:r>
      <w:rPr>
        <w:rFonts w:ascii="宋体" w:hAnsi="宋体" w:eastAsia="宋体" w:cs="宋体"/>
        <w:spacing w:val="12"/>
        <w:sz w:val="18"/>
        <w:szCs w:val="18"/>
      </w:rPr>
      <w:t xml:space="preserve"> </w:t>
    </w:r>
    <w:r>
      <w:rPr>
        <w:rFonts w:ascii="Calibri" w:hAnsi="Calibri" w:eastAsia="Calibri" w:cs="Calibri"/>
        <w:spacing w:val="-8"/>
        <w:sz w:val="18"/>
        <w:szCs w:val="18"/>
      </w:rPr>
      <w:t>5</w:t>
    </w:r>
    <w:r>
      <w:rPr>
        <w:rFonts w:ascii="Calibri" w:hAnsi="Calibri" w:eastAsia="Calibri" w:cs="Calibri"/>
        <w:spacing w:val="10"/>
        <w:w w:val="101"/>
        <w:sz w:val="18"/>
        <w:szCs w:val="18"/>
      </w:rPr>
      <w:t xml:space="preserve">  </w:t>
    </w:r>
    <w:r>
      <w:rPr>
        <w:rFonts w:ascii="宋体" w:hAnsi="宋体" w:eastAsia="宋体" w:cs="宋体"/>
        <w:spacing w:val="-8"/>
        <w:sz w:val="18"/>
        <w:szCs w:val="18"/>
      </w:rPr>
      <w:t>页</w:t>
    </w:r>
    <w:r>
      <w:rPr>
        <w:rFonts w:ascii="宋体" w:hAnsi="宋体" w:eastAsia="宋体" w:cs="宋体"/>
        <w:spacing w:val="5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共</w:t>
    </w:r>
    <w:r>
      <w:rPr>
        <w:rFonts w:ascii="宋体" w:hAnsi="宋体" w:eastAsia="宋体" w:cs="宋体"/>
        <w:spacing w:val="10"/>
        <w:sz w:val="18"/>
        <w:szCs w:val="18"/>
      </w:rPr>
      <w:t xml:space="preserve"> </w:t>
    </w:r>
    <w:r>
      <w:rPr>
        <w:rFonts w:ascii="Calibri" w:hAnsi="Calibri" w:eastAsia="Calibri" w:cs="Calibri"/>
        <w:spacing w:val="-8"/>
        <w:sz w:val="18"/>
        <w:szCs w:val="18"/>
      </w:rPr>
      <w:t>5</w:t>
    </w:r>
    <w:r>
      <w:rPr>
        <w:rFonts w:ascii="Calibri" w:hAnsi="Calibri" w:eastAsia="Calibri" w:cs="Calibri"/>
        <w:spacing w:val="9"/>
        <w:sz w:val="18"/>
        <w:szCs w:val="18"/>
      </w:rPr>
      <w:t xml:space="preserve">  </w:t>
    </w:r>
    <w:r>
      <w:rPr>
        <w:rFonts w:ascii="宋体" w:hAnsi="宋体" w:eastAsia="宋体" w:cs="宋体"/>
        <w:spacing w:val="-8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687336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28"/>
      <w:szCs w:val="28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仿宋" w:hAnsi="仿宋" w:eastAsia="仿宋" w:cs="仿宋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2283</Words>
  <Characters>2441</Characters>
  <TotalTime>0</TotalTime>
  <ScaleCrop>false</ScaleCrop>
  <LinksUpToDate>false</LinksUpToDate>
  <CharactersWithSpaces>2586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2024-01-08T16:15:00Z</dcterms:created>
  <dc:creator>Windows 用户</dc:creator>
  <cp:lastModifiedBy>zhishen</cp:lastModifiedBy>
  <dcterms:modified xsi:type="dcterms:W3CDTF">2025-09-28T08:41:00Z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2025-09-28T16:40:47Z</vt:filetime>
  </property>
  <property fmtid="{D5CDD505-2E9C-101B-9397-08002B2CF9AE}" pid="4" name="KSOTemplateDocerSaveRecord">
    <vt:lpwstr>eyJoZGlkIjoiYjgxYjRiNjc0ODQ0OWU4ZGQ0ZTNmNjM1ZDVlNmM4YmMiLCJ1c2VySWQiOiI0MzI3Nzg0NzEifQ==</vt:lpwstr>
  </property>
  <property fmtid="{D5CDD505-2E9C-101B-9397-08002B2CF9AE}" pid="5" name="KSOProductBuildVer">
    <vt:lpwstr>2052-12.1.0.22529</vt:lpwstr>
  </property>
  <property fmtid="{D5CDD505-2E9C-101B-9397-08002B2CF9AE}" pid="6" name="ICV">
    <vt:lpwstr>19338FB50771424E885E2E6A8D4756A8_12</vt:lpwstr>
  </property>
</Properties>
</file>