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b/>
          <w:bCs/>
          <w:color w:val="2F5D8A"/>
          <w:sz w:val="26"/>
          <w:szCs w:val="26"/>
        </w:rPr>
        <w:t xml:space="preserve">SOFTWARE REQUIREMENTS SPECIFICATION</w:t>
      </w:r>
    </w:p>
    <w:p>
      <w:pPr>
        <w:pBdr>
          <w:bottom w:val="single" w:color="17375E" w:sz="18" w:space="6"/>
        </w:pBdr>
        <w:spacing w:after="0" w:before="120"/>
      </w:pPr>
      <w:r>
        <w:rPr>
          <w:rFonts w:ascii="Arial" w:cs="Arial" w:eastAsia="Arial" w:hAnsi="Arial"/>
          <w:b/>
          <w:bCs/>
          <w:color w:val="17375E"/>
          <w:sz w:val="64"/>
          <w:szCs w:val="64"/>
        </w:rPr>
        <w:t xml:space="preserve">HR Operations Portal</w:t>
      </w:r>
    </w:p>
    <w:p>
      <w:pPr>
        <w:spacing w:before="200"/>
      </w:pPr>
      <w:r>
        <w:rPr>
          <w:i/>
          <w:iCs/>
          <w:color w:val="5A6675"/>
          <w:sz w:val="28"/>
          <w:szCs w:val="28"/>
        </w:rPr>
        <w:t xml:space="preserve">An AI-Assisted, HR-Only Workforce &amp; Compliance Platform</w:t>
      </w:r>
    </w:p>
    <w:p>
      <w:pPr>
        <w:spacing w:before="80"/>
      </w:pPr>
      <w:r>
        <w:rPr>
          <w:color w:val="5A6675"/>
          <w:sz w:val="22"/>
          <w:szCs w:val="22"/>
        </w:rPr>
        <w:t xml:space="preserve">BCA A1 Construction Contractor  ·  6-Role HR Department  ·  Singapore</w:t>
      </w:r>
    </w:p>
    <w:p>
      <w:pPr>
        <w:spacing w:before="7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7D0DA" w:sz="1"/>
              <w:left w:val="single" w:color="C7D0DA" w:sz="1"/>
              <w:bottom w:val="single" w:color="C7D0DA" w:sz="1"/>
              <w:right w:val="single" w:color="C7D0DA" w:sz="1"/>
            </w:tcBorders>
            <w:shd w:fill="EEF2F7" w:val="clear"/>
            <w:tcMar>
              <w:top w:type="dxa" w:w="70"/>
              <w:left w:type="dxa" w:w="120"/>
              <w:bottom w:type="dxa" w:w="70"/>
              <w:right w:type="dxa" w:w="120"/>
            </w:tcMar>
          </w:tcPr>
          <w:p>
            <w:r>
              <w:rPr>
                <w:b/>
                <w:bCs/>
                <w:color w:val="17375E"/>
                <w:sz w:val="20"/>
                <w:szCs w:val="20"/>
              </w:rPr>
              <w:t xml:space="preserve">Document</w:t>
            </w:r>
          </w:p>
        </w:tc>
        <w:tc>
          <w:tcPr>
            <w:tcW w:type="dxa" w:w="7038"/>
            <w:tcBorders>
              <w:top w:val="single" w:color="C7D0DA" w:sz="1"/>
              <w:left w:val="single" w:color="C7D0DA" w:sz="1"/>
              <w:bottom w:val="single" w:color="C7D0DA" w:sz="1"/>
              <w:right w:val="single" w:color="C7D0DA" w:sz="1"/>
            </w:tcBorders>
            <w:tcMar>
              <w:top w:type="dxa" w:w="70"/>
              <w:left w:type="dxa" w:w="120"/>
              <w:bottom w:type="dxa" w:w="70"/>
              <w:right w:type="dxa" w:w="120"/>
            </w:tcMar>
          </w:tcPr>
          <w:p>
            <w:r>
              <w:rPr>
                <w:sz w:val="20"/>
                <w:szCs w:val="20"/>
              </w:rPr>
              <w:t xml:space="preserve">Software Requirements Specification (SRS) v0.2 — Draft for review (updated after design review)</w:t>
            </w:r>
          </w:p>
        </w:tc>
      </w:tr>
      <w:tr>
        <w:tc>
          <w:tcPr>
            <w:tcW w:type="dxa" w:w="2600"/>
            <w:tcBorders>
              <w:top w:val="single" w:color="C7D0DA" w:sz="1"/>
              <w:left w:val="single" w:color="C7D0DA" w:sz="1"/>
              <w:bottom w:val="single" w:color="C7D0DA" w:sz="1"/>
              <w:right w:val="single" w:color="C7D0DA" w:sz="1"/>
            </w:tcBorders>
            <w:shd w:fill="EEF2F7" w:val="clear"/>
            <w:tcMar>
              <w:top w:type="dxa" w:w="70"/>
              <w:left w:type="dxa" w:w="120"/>
              <w:bottom w:type="dxa" w:w="70"/>
              <w:right w:type="dxa" w:w="120"/>
            </w:tcMar>
          </w:tcPr>
          <w:p>
            <w:r>
              <w:rPr>
                <w:b/>
                <w:bCs/>
                <w:color w:val="17375E"/>
                <w:sz w:val="20"/>
                <w:szCs w:val="20"/>
              </w:rPr>
              <w:t xml:space="preserve">Prepared for</w:t>
            </w:r>
          </w:p>
        </w:tc>
        <w:tc>
          <w:tcPr>
            <w:tcW w:type="dxa" w:w="7038"/>
            <w:tcBorders>
              <w:top w:val="single" w:color="C7D0DA" w:sz="1"/>
              <w:left w:val="single" w:color="C7D0DA" w:sz="1"/>
              <w:bottom w:val="single" w:color="C7D0DA" w:sz="1"/>
              <w:right w:val="single" w:color="C7D0DA" w:sz="1"/>
            </w:tcBorders>
            <w:tcMar>
              <w:top w:type="dxa" w:w="70"/>
              <w:left w:type="dxa" w:w="120"/>
              <w:bottom w:type="dxa" w:w="70"/>
              <w:right w:type="dxa" w:w="120"/>
            </w:tcMar>
          </w:tcPr>
          <w:p>
            <w:r>
              <w:rPr>
                <w:sz w:val="20"/>
                <w:szCs w:val="20"/>
              </w:rPr>
              <w:t xml:space="preserve">Head of HR / HR Department</w:t>
            </w:r>
          </w:p>
        </w:tc>
      </w:tr>
      <w:tr>
        <w:tc>
          <w:tcPr>
            <w:tcW w:type="dxa" w:w="2600"/>
            <w:tcBorders>
              <w:top w:val="single" w:color="C7D0DA" w:sz="1"/>
              <w:left w:val="single" w:color="C7D0DA" w:sz="1"/>
              <w:bottom w:val="single" w:color="C7D0DA" w:sz="1"/>
              <w:right w:val="single" w:color="C7D0DA" w:sz="1"/>
            </w:tcBorders>
            <w:shd w:fill="EEF2F7" w:val="clear"/>
            <w:tcMar>
              <w:top w:type="dxa" w:w="70"/>
              <w:left w:type="dxa" w:w="120"/>
              <w:bottom w:type="dxa" w:w="70"/>
              <w:right w:type="dxa" w:w="120"/>
            </w:tcMar>
          </w:tcPr>
          <w:p>
            <w:r>
              <w:rPr>
                <w:b/>
                <w:bCs/>
                <w:color w:val="17375E"/>
                <w:sz w:val="20"/>
                <w:szCs w:val="20"/>
              </w:rPr>
              <w:t xml:space="preserve">Source basis</w:t>
            </w:r>
          </w:p>
        </w:tc>
        <w:tc>
          <w:tcPr>
            <w:tcW w:type="dxa" w:w="7038"/>
            <w:tcBorders>
              <w:top w:val="single" w:color="C7D0DA" w:sz="1"/>
              <w:left w:val="single" w:color="C7D0DA" w:sz="1"/>
              <w:bottom w:val="single" w:color="C7D0DA" w:sz="1"/>
              <w:right w:val="single" w:color="C7D0DA" w:sz="1"/>
            </w:tcBorders>
            <w:tcMar>
              <w:top w:type="dxa" w:w="70"/>
              <w:left w:type="dxa" w:w="120"/>
              <w:bottom w:type="dxa" w:w="70"/>
              <w:right w:type="dxa" w:w="120"/>
            </w:tcMar>
          </w:tcPr>
          <w:p>
            <w:r>
              <w:rPr>
                <w:sz w:val="20"/>
                <w:szCs w:val="20"/>
              </w:rPr>
              <w:t xml:space="preserve">HR JOBS.docx — A1 Contractor, 6-Role Structure</w:t>
            </w:r>
          </w:p>
        </w:tc>
      </w:tr>
      <w:tr>
        <w:tc>
          <w:tcPr>
            <w:tcW w:type="dxa" w:w="2600"/>
            <w:tcBorders>
              <w:top w:val="single" w:color="C7D0DA" w:sz="1"/>
              <w:left w:val="single" w:color="C7D0DA" w:sz="1"/>
              <w:bottom w:val="single" w:color="C7D0DA" w:sz="1"/>
              <w:right w:val="single" w:color="C7D0DA" w:sz="1"/>
            </w:tcBorders>
            <w:shd w:fill="EEF2F7" w:val="clear"/>
            <w:tcMar>
              <w:top w:type="dxa" w:w="70"/>
              <w:left w:type="dxa" w:w="120"/>
              <w:bottom w:type="dxa" w:w="70"/>
              <w:right w:type="dxa" w:w="120"/>
            </w:tcMar>
          </w:tcPr>
          <w:p>
            <w:r>
              <w:rPr>
                <w:b/>
                <w:bCs/>
                <w:color w:val="17375E"/>
                <w:sz w:val="20"/>
                <w:szCs w:val="20"/>
              </w:rPr>
              <w:t xml:space="preserve">Status</w:t>
            </w:r>
          </w:p>
        </w:tc>
        <w:tc>
          <w:tcPr>
            <w:tcW w:type="dxa" w:w="7038"/>
            <w:tcBorders>
              <w:top w:val="single" w:color="C7D0DA" w:sz="1"/>
              <w:left w:val="single" w:color="C7D0DA" w:sz="1"/>
              <w:bottom w:val="single" w:color="C7D0DA" w:sz="1"/>
              <w:right w:val="single" w:color="C7D0DA" w:sz="1"/>
            </w:tcBorders>
            <w:tcMar>
              <w:top w:type="dxa" w:w="70"/>
              <w:left w:type="dxa" w:w="120"/>
              <w:bottom w:type="dxa" w:w="70"/>
              <w:right w:type="dxa" w:w="120"/>
            </w:tcMar>
          </w:tcPr>
          <w:p>
            <w:r>
              <w:rPr>
                <w:sz w:val="20"/>
                <w:szCs w:val="20"/>
              </w:rPr>
              <w:t xml:space="preserve">Draft — pending regulatory verification and stakeholder sign-off</w:t>
            </w:r>
          </w:p>
        </w:tc>
      </w:tr>
      <w:tr>
        <w:tc>
          <w:tcPr>
            <w:tcW w:type="dxa" w:w="2600"/>
            <w:tcBorders>
              <w:top w:val="single" w:color="C7D0DA" w:sz="1"/>
              <w:left w:val="single" w:color="C7D0DA" w:sz="1"/>
              <w:bottom w:val="single" w:color="C7D0DA" w:sz="1"/>
              <w:right w:val="single" w:color="C7D0DA" w:sz="1"/>
            </w:tcBorders>
            <w:shd w:fill="EEF2F7" w:val="clear"/>
            <w:tcMar>
              <w:top w:type="dxa" w:w="70"/>
              <w:left w:type="dxa" w:w="120"/>
              <w:bottom w:type="dxa" w:w="70"/>
              <w:right w:type="dxa" w:w="120"/>
            </w:tcMar>
          </w:tcPr>
          <w:p>
            <w:r>
              <w:rPr>
                <w:b/>
                <w:bCs/>
                <w:color w:val="17375E"/>
                <w:sz w:val="20"/>
                <w:szCs w:val="20"/>
              </w:rPr>
              <w:t xml:space="preserve">Date</w:t>
            </w:r>
          </w:p>
        </w:tc>
        <w:tc>
          <w:tcPr>
            <w:tcW w:type="dxa" w:w="7038"/>
            <w:tcBorders>
              <w:top w:val="single" w:color="C7D0DA" w:sz="1"/>
              <w:left w:val="single" w:color="C7D0DA" w:sz="1"/>
              <w:bottom w:val="single" w:color="C7D0DA" w:sz="1"/>
              <w:right w:val="single" w:color="C7D0DA" w:sz="1"/>
            </w:tcBorders>
            <w:tcMar>
              <w:top w:type="dxa" w:w="70"/>
              <w:left w:type="dxa" w:w="120"/>
              <w:bottom w:type="dxa" w:w="70"/>
              <w:right w:type="dxa" w:w="120"/>
            </w:tcMar>
          </w:tcPr>
          <w:p>
            <w:r>
              <w:rPr>
                <w:sz w:val="20"/>
                <w:szCs w:val="20"/>
              </w:rPr>
              <w:t xml:space="preserve">3 July 2026</w:t>
            </w:r>
          </w:p>
        </w:tc>
      </w:tr>
    </w:tbl>
    <w:p>
      <w:pPr>
        <w:spacing w:before="500"/>
      </w:pPr>
      <w:r>
        <w:rPr>
          <w:i/>
          <w:iCs/>
          <w:color w:val="5A6675"/>
          <w:sz w:val="17"/>
          <w:szCs w:val="17"/>
        </w:rPr>
        <w:t xml:space="preserve">Advisory note: This specification describes a system that processes payroll, statutory submissions, and PDPA-protected personal data. All statutory figures and regulatory rules referenced herein originate from the source job-scope document and MUST be independently verified against current MOM, BCA, CPF and PDPC requirements before implementation. This document is a planning artifact, not legal or compliance advice.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76"/>
      </w:pPr>
      <w:r>
        <w:t xml:space="preserve">This document specifies the functional and non-functional requirements for the HR Operations Portal (“the Portal”): an internal web application that enables the Human Resources department of an A1-graded construction contractor to perform its work with AI assistance. It is the reference for the development team and the basis for scoping, estimation, and acceptance.</w:t>
      </w:r>
    </w:p>
    <w:p>
      <w:pPr>
        <w:pStyle w:val="Heading2"/>
      </w:pPr>
      <w:r>
        <w:t xml:space="preserve">1.2 Background</w:t>
      </w:r>
    </w:p>
    <w:p>
      <w:pPr>
        <w:spacing w:after="120" w:line="276"/>
      </w:pPr>
      <w:r>
        <w:t xml:space="preserve">The HR department operates a six-role structure: a Head of HR, an HR Manager, three functional Executives (Payroll; Foreign Workers; Staff), and an HR Assistant. The work is heavily governed by Singapore employment regulation — the Employment Act, EFMA, CPF, BCA manpower quotas and licence conditions, the Dependency Ratio Ceiling (DRC), the Fair Consideration Framework (FCF), and the PDPA. Today this work is largely manual. The Portal’s purpose is to automate or assist the high-volume, rules-based, and document-heavy tasks while keeping human judgment and accountability on every consequential decision.</w:t>
      </w:r>
    </w:p>
    <w:p>
      <w:pPr>
        <w:pStyle w:val="Heading2"/>
      </w:pPr>
      <w:r>
        <w:t xml:space="preserve">1.3 Guiding principles</w:t>
      </w:r>
    </w:p>
    <w:p>
      <w:pPr>
        <w:pStyle w:val="ListParagraph"/>
        <w:numPr>
          <w:ilvl w:val="0"/>
          <w:numId w:val="2"/>
        </w:numPr>
        <w:spacing w:after="60" w:line="270"/>
      </w:pPr>
      <w:r>
        <w:rPr>
          <w:b/>
          <w:bCs/>
        </w:rPr>
        <w:t xml:space="preserve">HR-only. </w:t>
      </w:r>
      <w:r>
        <w:t xml:space="preserve">The Portal is accessible exclusively to HR personnel. It is not an employee self-service system and must not be exposed to general staff or workers.</w:t>
      </w:r>
    </w:p>
    <w:p>
      <w:pPr>
        <w:pStyle w:val="ListParagraph"/>
        <w:numPr>
          <w:ilvl w:val="0"/>
          <w:numId w:val="2"/>
        </w:numPr>
        <w:spacing w:after="60" w:line="270"/>
      </w:pPr>
      <w:r>
        <w:rPr>
          <w:b/>
          <w:bCs/>
        </w:rPr>
        <w:t xml:space="preserve">Human-in-the-loop by default. </w:t>
      </w:r>
      <w:r>
        <w:t xml:space="preserve">AI prepares, monitors, drafts and reconciles; a named human reviews and approves every consequential action. The system never finalises payroll, submits a statutory filing, or issues a letter without an explicit human release step.</w:t>
      </w:r>
    </w:p>
    <w:p>
      <w:pPr>
        <w:pStyle w:val="ListParagraph"/>
        <w:numPr>
          <w:ilvl w:val="0"/>
          <w:numId w:val="2"/>
        </w:numPr>
        <w:spacing w:after="60" w:line="270"/>
      </w:pPr>
      <w:r>
        <w:rPr>
          <w:b/>
          <w:bCs/>
        </w:rPr>
        <w:t xml:space="preserve">Deterministic where it matters. </w:t>
      </w:r>
      <w:r>
        <w:t xml:space="preserve">All statutory and financial computation (payroll, CPF, levy, encashment, compensation) is performed by tested, deterministic code — never by a generative model. AI is confined to drafting, classification, retrieval, monitoring and triage.</w:t>
      </w:r>
    </w:p>
    <w:p>
      <w:pPr>
        <w:pStyle w:val="ListParagraph"/>
        <w:numPr>
          <w:ilvl w:val="0"/>
          <w:numId w:val="2"/>
        </w:numPr>
        <w:spacing w:after="60" w:line="270"/>
      </w:pPr>
      <w:r>
        <w:rPr>
          <w:b/>
          <w:bCs/>
        </w:rPr>
        <w:t xml:space="preserve">Auditable. </w:t>
      </w:r>
      <w:r>
        <w:t xml:space="preserve">Every AI output and every human approval is logged with author, timestamp and source data, in line with maker-checker control and the Delegation of Authority (DOA) matrix.</w:t>
      </w:r>
    </w:p>
    <w:p>
      <w:pPr>
        <w:pStyle w:val="ListParagraph"/>
        <w:numPr>
          <w:ilvl w:val="0"/>
          <w:numId w:val="2"/>
        </w:numPr>
        <w:spacing w:after="60" w:line="270"/>
      </w:pPr>
      <w:r>
        <w:rPr>
          <w:b/>
          <w:bCs/>
        </w:rPr>
        <w:t xml:space="preserve">PDPA-by-design. </w:t>
      </w:r>
      <w:r>
        <w:t xml:space="preserve">Personal data of staff and foreign workers is role-scoped, access-controlled, retention-governed, and breach-monitored from the first line of code.</w:t>
      </w:r>
    </w:p>
    <w:p>
      <w:pPr>
        <w:pStyle w:val="Heading2"/>
      </w:pPr>
      <w:r>
        <w:t xml:space="preserve">1.4 Definitions &amp;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rFonts w:ascii="Consolas" w:cs="Consolas" w:eastAsia="Consolas" w:hAnsi="Consolas"/>
                <w:b/>
                <w:bCs/>
                <w:color w:val="2F5D8A"/>
                <w:sz w:val="18"/>
                <w:szCs w:val="18"/>
              </w:rPr>
              <w:t xml:space="preserve">HRIQ</w:t>
            </w:r>
          </w:p>
        </w:tc>
        <w:tc>
          <w:tcPr>
            <w:tcW w:type="dxa" w:w="7438"/>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sz w:val="18"/>
                <w:szCs w:val="18"/>
              </w:rPr>
              <w:t xml:space="preserve">The incumbent HR Information System (HRIS) of record.</w:t>
            </w:r>
          </w:p>
        </w:tc>
      </w:tr>
      <w:tr>
        <w:tc>
          <w:tcPr>
            <w:tcW w:type="dxa" w:w="2200"/>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rFonts w:ascii="Consolas" w:cs="Consolas" w:eastAsia="Consolas" w:hAnsi="Consolas"/>
                <w:b/>
                <w:bCs/>
                <w:color w:val="2F5D8A"/>
                <w:sz w:val="18"/>
                <w:szCs w:val="18"/>
              </w:rPr>
              <w:t xml:space="preserve">MOM</w:t>
            </w:r>
          </w:p>
        </w:tc>
        <w:tc>
          <w:tcPr>
            <w:tcW w:type="dxa" w:w="7438"/>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sz w:val="18"/>
                <w:szCs w:val="18"/>
              </w:rPr>
              <w:t xml:space="preserve">Ministry of Manpower.</w:t>
            </w:r>
          </w:p>
        </w:tc>
      </w:tr>
      <w:tr>
        <w:tc>
          <w:tcPr>
            <w:tcW w:type="dxa" w:w="2200"/>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rFonts w:ascii="Consolas" w:cs="Consolas" w:eastAsia="Consolas" w:hAnsi="Consolas"/>
                <w:b/>
                <w:bCs/>
                <w:color w:val="2F5D8A"/>
                <w:sz w:val="18"/>
                <w:szCs w:val="18"/>
              </w:rPr>
              <w:t xml:space="preserve">BCA</w:t>
            </w:r>
          </w:p>
        </w:tc>
        <w:tc>
          <w:tcPr>
            <w:tcW w:type="dxa" w:w="7438"/>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sz w:val="18"/>
                <w:szCs w:val="18"/>
              </w:rPr>
              <w:t xml:space="preserve">Building and Construction Authority; A1 is the highest contractor grading.</w:t>
            </w:r>
          </w:p>
        </w:tc>
      </w:tr>
      <w:tr>
        <w:tc>
          <w:tcPr>
            <w:tcW w:type="dxa" w:w="2200"/>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rFonts w:ascii="Consolas" w:cs="Consolas" w:eastAsia="Consolas" w:hAnsi="Consolas"/>
                <w:b/>
                <w:bCs/>
                <w:color w:val="2F5D8A"/>
                <w:sz w:val="18"/>
                <w:szCs w:val="18"/>
              </w:rPr>
              <w:t xml:space="preserve">DRC</w:t>
            </w:r>
          </w:p>
        </w:tc>
        <w:tc>
          <w:tcPr>
            <w:tcW w:type="dxa" w:w="7438"/>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sz w:val="18"/>
                <w:szCs w:val="18"/>
              </w:rPr>
              <w:t xml:space="preserve">Dependency Ratio Ceiling — the cap on foreign-worker proportion.</w:t>
            </w:r>
          </w:p>
        </w:tc>
      </w:tr>
      <w:tr>
        <w:tc>
          <w:tcPr>
            <w:tcW w:type="dxa" w:w="2200"/>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rFonts w:ascii="Consolas" w:cs="Consolas" w:eastAsia="Consolas" w:hAnsi="Consolas"/>
                <w:b/>
                <w:bCs/>
                <w:color w:val="2F5D8A"/>
                <w:sz w:val="18"/>
                <w:szCs w:val="18"/>
              </w:rPr>
              <w:t xml:space="preserve">EFMA</w:t>
            </w:r>
          </w:p>
        </w:tc>
        <w:tc>
          <w:tcPr>
            <w:tcW w:type="dxa" w:w="7438"/>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sz w:val="18"/>
                <w:szCs w:val="18"/>
              </w:rPr>
              <w:t xml:space="preserve">Employment of Foreign Manpower Act.</w:t>
            </w:r>
          </w:p>
        </w:tc>
      </w:tr>
      <w:tr>
        <w:tc>
          <w:tcPr>
            <w:tcW w:type="dxa" w:w="2200"/>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rFonts w:ascii="Consolas" w:cs="Consolas" w:eastAsia="Consolas" w:hAnsi="Consolas"/>
                <w:b/>
                <w:bCs/>
                <w:color w:val="2F5D8A"/>
                <w:sz w:val="18"/>
                <w:szCs w:val="18"/>
              </w:rPr>
              <w:t xml:space="preserve">FCF</w:t>
            </w:r>
          </w:p>
        </w:tc>
        <w:tc>
          <w:tcPr>
            <w:tcW w:type="dxa" w:w="7438"/>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sz w:val="18"/>
                <w:szCs w:val="18"/>
              </w:rPr>
              <w:t xml:space="preserve">Fair Consideration Framework (MyCareersFuture advertising rules).</w:t>
            </w:r>
          </w:p>
        </w:tc>
      </w:tr>
      <w:tr>
        <w:tc>
          <w:tcPr>
            <w:tcW w:type="dxa" w:w="2200"/>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rFonts w:ascii="Consolas" w:cs="Consolas" w:eastAsia="Consolas" w:hAnsi="Consolas"/>
                <w:b/>
                <w:bCs/>
                <w:color w:val="2F5D8A"/>
                <w:sz w:val="18"/>
                <w:szCs w:val="18"/>
              </w:rPr>
              <w:t xml:space="preserve">IPA</w:t>
            </w:r>
          </w:p>
        </w:tc>
        <w:tc>
          <w:tcPr>
            <w:tcW w:type="dxa" w:w="7438"/>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sz w:val="18"/>
                <w:szCs w:val="18"/>
              </w:rPr>
              <w:t xml:space="preserve">In-Principle Approval (for work passes).</w:t>
            </w:r>
          </w:p>
        </w:tc>
      </w:tr>
      <w:tr>
        <w:tc>
          <w:tcPr>
            <w:tcW w:type="dxa" w:w="2200"/>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rFonts w:ascii="Consolas" w:cs="Consolas" w:eastAsia="Consolas" w:hAnsi="Consolas"/>
                <w:b/>
                <w:bCs/>
                <w:color w:val="2F5D8A"/>
                <w:sz w:val="18"/>
                <w:szCs w:val="18"/>
              </w:rPr>
              <w:t xml:space="preserve">WICA / FWMI</w:t>
            </w:r>
          </w:p>
        </w:tc>
        <w:tc>
          <w:tcPr>
            <w:tcW w:type="dxa" w:w="7438"/>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sz w:val="18"/>
                <w:szCs w:val="18"/>
              </w:rPr>
              <w:t xml:space="preserve">Work Injury Compensation Act / Foreign Worker Medical Insurance.</w:t>
            </w:r>
          </w:p>
        </w:tc>
      </w:tr>
      <w:tr>
        <w:tc>
          <w:tcPr>
            <w:tcW w:type="dxa" w:w="2200"/>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rFonts w:ascii="Consolas" w:cs="Consolas" w:eastAsia="Consolas" w:hAnsi="Consolas"/>
                <w:b/>
                <w:bCs/>
                <w:color w:val="2F5D8A"/>
                <w:sz w:val="18"/>
                <w:szCs w:val="18"/>
              </w:rPr>
              <w:t xml:space="preserve">AME</w:t>
            </w:r>
          </w:p>
        </w:tc>
        <w:tc>
          <w:tcPr>
            <w:tcW w:type="dxa" w:w="7438"/>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sz w:val="18"/>
                <w:szCs w:val="18"/>
              </w:rPr>
              <w:t xml:space="preserve">Average Monthly Earnings (basis for claim compensation).</w:t>
            </w:r>
          </w:p>
        </w:tc>
      </w:tr>
      <w:tr>
        <w:tc>
          <w:tcPr>
            <w:tcW w:type="dxa" w:w="2200"/>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rFonts w:ascii="Consolas" w:cs="Consolas" w:eastAsia="Consolas" w:hAnsi="Consolas"/>
                <w:b/>
                <w:bCs/>
                <w:color w:val="2F5D8A"/>
                <w:sz w:val="18"/>
                <w:szCs w:val="18"/>
              </w:rPr>
              <w:t xml:space="preserve">DOA</w:t>
            </w:r>
          </w:p>
        </w:tc>
        <w:tc>
          <w:tcPr>
            <w:tcW w:type="dxa" w:w="7438"/>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sz w:val="18"/>
                <w:szCs w:val="18"/>
              </w:rPr>
              <w:t xml:space="preserve">Delegation of Authority matrix — defines approval thresholds.</w:t>
            </w:r>
          </w:p>
        </w:tc>
      </w:tr>
      <w:tr>
        <w:tc>
          <w:tcPr>
            <w:tcW w:type="dxa" w:w="2200"/>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rFonts w:ascii="Consolas" w:cs="Consolas" w:eastAsia="Consolas" w:hAnsi="Consolas"/>
                <w:b/>
                <w:bCs/>
                <w:color w:val="2F5D8A"/>
                <w:sz w:val="18"/>
                <w:szCs w:val="18"/>
              </w:rPr>
              <w:t xml:space="preserve">RBAC</w:t>
            </w:r>
          </w:p>
        </w:tc>
        <w:tc>
          <w:tcPr>
            <w:tcW w:type="dxa" w:w="7438"/>
            <w:tcBorders>
              <w:top w:val="single" w:color="C7D0DA" w:sz="1"/>
              <w:left w:val="single" w:color="C7D0DA" w:sz="1"/>
              <w:bottom w:val="single" w:color="C7D0DA" w:sz="1"/>
              <w:right w:val="single" w:color="C7D0DA" w:sz="1"/>
            </w:tcBorders>
            <w:shd w:fill="FFFFFF" w:val="clear"/>
            <w:tcMar>
              <w:top w:type="dxa" w:w="50"/>
              <w:left w:type="dxa" w:w="110"/>
              <w:bottom w:type="dxa" w:w="50"/>
              <w:right w:type="dxa" w:w="110"/>
            </w:tcMar>
          </w:tcPr>
          <w:p>
            <w:r>
              <w:rPr>
                <w:sz w:val="18"/>
                <w:szCs w:val="18"/>
              </w:rPr>
              <w:t xml:space="preserve">Role-Based Access Control.</w:t>
            </w:r>
          </w:p>
        </w:tc>
      </w:tr>
      <w:tr>
        <w:tc>
          <w:tcPr>
            <w:tcW w:type="dxa" w:w="2200"/>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rFonts w:ascii="Consolas" w:cs="Consolas" w:eastAsia="Consolas" w:hAnsi="Consolas"/>
                <w:b/>
                <w:bCs/>
                <w:color w:val="2F5D8A"/>
                <w:sz w:val="18"/>
                <w:szCs w:val="18"/>
              </w:rPr>
              <w:t xml:space="preserve">PDPA / PDPC</w:t>
            </w:r>
          </w:p>
        </w:tc>
        <w:tc>
          <w:tcPr>
            <w:tcW w:type="dxa" w:w="7438"/>
            <w:tcBorders>
              <w:top w:val="single" w:color="C7D0DA" w:sz="1"/>
              <w:left w:val="single" w:color="C7D0DA" w:sz="1"/>
              <w:bottom w:val="single" w:color="C7D0DA" w:sz="1"/>
              <w:right w:val="single" w:color="C7D0DA" w:sz="1"/>
            </w:tcBorders>
            <w:shd w:fill="F6F8FB" w:val="clear"/>
            <w:tcMar>
              <w:top w:type="dxa" w:w="50"/>
              <w:left w:type="dxa" w:w="110"/>
              <w:bottom w:type="dxa" w:w="50"/>
              <w:right w:type="dxa" w:w="110"/>
            </w:tcMar>
          </w:tcPr>
          <w:p>
            <w:r>
              <w:rPr>
                <w:sz w:val="18"/>
                <w:szCs w:val="18"/>
              </w:rPr>
              <w:t xml:space="preserve">Personal Data Protection Act / Commission.</w:t>
            </w:r>
          </w:p>
        </w:tc>
      </w:tr>
    </w:tbl>
    <w:p>
      <w:pPr>
        <w:pStyle w:val="Heading1"/>
      </w:pPr>
      <w:r>
        <w:t xml:space="preserve">2. Scope</w:t>
      </w:r>
    </w:p>
    <w:p>
      <w:pPr>
        <w:pStyle w:val="Heading2"/>
      </w:pPr>
      <w:r>
        <w:t xml:space="preserve">2.1 In scope</w:t>
      </w:r>
    </w:p>
    <w:p>
      <w:pPr>
        <w:pStyle w:val="ListParagraph"/>
        <w:numPr>
          <w:ilvl w:val="0"/>
          <w:numId w:val="2"/>
        </w:numPr>
        <w:spacing w:after="60" w:line="270"/>
      </w:pPr>
      <w:r>
        <w:t xml:space="preserve">A secure, HR-only web portal with role-based dashboards for all six HR roles.</w:t>
      </w:r>
    </w:p>
    <w:p>
      <w:pPr>
        <w:pStyle w:val="ListParagraph"/>
        <w:numPr>
          <w:ilvl w:val="0"/>
          <w:numId w:val="2"/>
        </w:numPr>
        <w:spacing w:after="60" w:line="270"/>
      </w:pPr>
      <w:r>
        <w:t xml:space="preserve">Seven shared AI services (Section 5) reused across roles.</w:t>
      </w:r>
    </w:p>
    <w:p>
      <w:pPr>
        <w:pStyle w:val="ListParagraph"/>
        <w:numPr>
          <w:ilvl w:val="0"/>
          <w:numId w:val="2"/>
        </w:numPr>
        <w:spacing w:after="60" w:line="270"/>
      </w:pPr>
      <w:r>
        <w:t xml:space="preserve">Integration with HRIQ as the system of record (subject to API availability — see Section 7).</w:t>
      </w:r>
    </w:p>
    <w:p>
      <w:pPr>
        <w:pStyle w:val="ListParagraph"/>
        <w:numPr>
          <w:ilvl w:val="0"/>
          <w:numId w:val="2"/>
        </w:numPr>
        <w:spacing w:after="60" w:line="270"/>
      </w:pPr>
      <w:r>
        <w:t xml:space="preserve">A compliance early-warning engine covering DRC, quotas, permit/licence expiry, statutory caps and retention.</w:t>
      </w:r>
    </w:p>
    <w:p>
      <w:pPr>
        <w:pStyle w:val="ListParagraph"/>
        <w:numPr>
          <w:ilvl w:val="0"/>
          <w:numId w:val="2"/>
        </w:numPr>
        <w:spacing w:after="60" w:line="270"/>
      </w:pPr>
      <w:r>
        <w:t xml:space="preserve">Maker-checker approval workflows and a complete audit trail aligned to the DOA matrix.</w:t>
      </w:r>
    </w:p>
    <w:p>
      <w:pPr>
        <w:pStyle w:val="ListParagraph"/>
        <w:numPr>
          <w:ilvl w:val="0"/>
          <w:numId w:val="2"/>
        </w:numPr>
        <w:spacing w:after="60" w:line="270"/>
      </w:pPr>
      <w:r>
        <w:t xml:space="preserve">AI-assisted document generation, payroll reconciliation, reporting, knowledge retrieval and recruitment intake.</w:t>
      </w:r>
    </w:p>
    <w:p>
      <w:pPr>
        <w:pStyle w:val="Heading2"/>
      </w:pPr>
      <w:r>
        <w:t xml:space="preserve">2.2 Out of scope</w:t>
      </w:r>
    </w:p>
    <w:p>
      <w:pPr>
        <w:pStyle w:val="ListParagraph"/>
        <w:numPr>
          <w:ilvl w:val="0"/>
          <w:numId w:val="2"/>
        </w:numPr>
        <w:spacing w:after="60" w:line="270"/>
      </w:pPr>
      <w:r>
        <w:t xml:space="preserve">Employee / worker self-service (leave application, payslip access by employees). The Portal is HR-only.</w:t>
      </w:r>
    </w:p>
    <w:p>
      <w:pPr>
        <w:pStyle w:val="ListParagraph"/>
        <w:numPr>
          <w:ilvl w:val="0"/>
          <w:numId w:val="2"/>
        </w:numPr>
        <w:spacing w:after="60" w:line="270"/>
      </w:pPr>
      <w:r>
        <w:t xml:space="preserve">Replacing HRIQ as the HRIS of record — the Portal augments it, not replaces it.</w:t>
      </w:r>
    </w:p>
    <w:p>
      <w:pPr>
        <w:pStyle w:val="ListParagraph"/>
        <w:numPr>
          <w:ilvl w:val="0"/>
          <w:numId w:val="2"/>
        </w:numPr>
        <w:spacing w:after="60" w:line="270"/>
      </w:pPr>
      <w:r>
        <w:t xml:space="preserve">Finance/accounting general ledger, and Operations site-deployment systems (integration points only).</w:t>
      </w:r>
    </w:p>
    <w:p>
      <w:pPr>
        <w:pStyle w:val="ListParagraph"/>
        <w:numPr>
          <w:ilvl w:val="0"/>
          <w:numId w:val="2"/>
        </w:numPr>
        <w:spacing w:after="60" w:line="270"/>
      </w:pPr>
      <w:r>
        <w:t xml:space="preserve">Autonomous statutory submission or payroll disbursement without human release.</w:t>
      </w:r>
    </w:p>
    <w:p>
      <w:pPr>
        <w:pStyle w:val="ListParagraph"/>
        <w:numPr>
          <w:ilvl w:val="0"/>
          <w:numId w:val="2"/>
        </w:numPr>
        <w:spacing w:after="60" w:line="270"/>
      </w:pPr>
      <w:r>
        <w:t xml:space="preserve">Provision of legal or regulatory advice — the system surfaces rules with citations; it does not adjudicate the law.</w:t>
      </w:r>
    </w:p>
    <w:p>
      <w:pPr>
        <w:pStyle w:val="Heading1"/>
      </w:pPr>
      <w:r>
        <w:t xml:space="preserve">3. Users, Roles &amp; Access</w:t>
      </w:r>
    </w:p>
    <w:p>
      <w:pPr>
        <w:spacing w:after="120" w:line="276"/>
      </w:pPr>
      <w:r>
        <w:t xml:space="preserve">The Portal enforces RBAC mirroring the department’s six roles. Each user sees only the workspace and data appropriate to their role; the HR Manager has cross-functional visibility plus approval authority; the Head of HR holds the highest approval and escalation 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138"/>
        <w:gridCol w:w="3200"/>
      </w:tblGrid>
      <w:tr>
        <w:trPr>
          <w:tblHeader/>
        </w:trPr>
        <w:tc>
          <w:tcPr>
            <w:tcW w:type="dxa" w:w="23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tcPr>
          <w:p>
            <w:r>
              <w:rPr>
                <w:b/>
                <w:bCs/>
                <w:color w:val="FFFFFF"/>
                <w:sz w:val="19"/>
                <w:szCs w:val="19"/>
              </w:rPr>
              <w:t xml:space="preserve">Role</w:t>
            </w:r>
          </w:p>
        </w:tc>
        <w:tc>
          <w:tcPr>
            <w:tcW w:type="dxa" w:w="413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tcPr>
          <w:p>
            <w:r>
              <w:rPr>
                <w:b/>
                <w:bCs/>
                <w:color w:val="FFFFFF"/>
                <w:sz w:val="19"/>
                <w:szCs w:val="19"/>
              </w:rPr>
              <w:t xml:space="preserve">Primary remit</w:t>
            </w:r>
          </w:p>
        </w:tc>
        <w:tc>
          <w:tcPr>
            <w:tcW w:type="dxa" w:w="32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tcPr>
          <w:p>
            <w:r>
              <w:rPr>
                <w:b/>
                <w:bCs/>
                <w:color w:val="FFFFFF"/>
                <w:sz w:val="19"/>
                <w:szCs w:val="19"/>
              </w:rPr>
              <w:t xml:space="preserve">Data / authority scope</w:t>
            </w:r>
          </w:p>
        </w:tc>
      </w:tr>
      <w:tr>
        <w:tc>
          <w:tcPr>
            <w:tcW w:type="dxa" w:w="2300"/>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bCs/>
                <w:color w:val="17375E"/>
                <w:sz w:val="18"/>
                <w:szCs w:val="18"/>
              </w:rPr>
              <w:t xml:space="preserve">Head of HR</w:t>
            </w:r>
          </w:p>
        </w:tc>
        <w:tc>
          <w:tcPr>
            <w:tcW w:type="dxa" w:w="4138"/>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val="false"/>
                <w:bCs w:val="false"/>
                <w:color w:val="1A1A1A"/>
                <w:sz w:val="18"/>
                <w:szCs w:val="18"/>
              </w:rPr>
              <w:t xml:space="preserve">Final approver / escalation for strategic &amp; high-risk matters</w:t>
            </w:r>
          </w:p>
        </w:tc>
        <w:tc>
          <w:tcPr>
            <w:tcW w:type="dxa" w:w="3200"/>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val="false"/>
                <w:bCs w:val="false"/>
                <w:color w:val="1A1A1A"/>
                <w:sz w:val="18"/>
                <w:szCs w:val="18"/>
              </w:rPr>
              <w:t xml:space="preserve">Full read; highest-tier approvals</w:t>
            </w:r>
          </w:p>
        </w:tc>
      </w:tr>
      <w:tr>
        <w:tc>
          <w:tcPr>
            <w:tcW w:type="dxa" w:w="2300"/>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bCs/>
                <w:color w:val="17375E"/>
                <w:sz w:val="18"/>
                <w:szCs w:val="18"/>
              </w:rPr>
              <w:t xml:space="preserve">HR Manager</w:t>
            </w:r>
          </w:p>
        </w:tc>
        <w:tc>
          <w:tcPr>
            <w:tcW w:type="dxa" w:w="4138"/>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val="false"/>
                <w:bCs w:val="false"/>
                <w:color w:val="1A1A1A"/>
                <w:sz w:val="18"/>
                <w:szCs w:val="18"/>
              </w:rPr>
              <w:t xml:space="preserve">Governance, risk, compensation, adjudication, team lead</w:t>
            </w:r>
          </w:p>
        </w:tc>
        <w:tc>
          <w:tcPr>
            <w:tcW w:type="dxa" w:w="3200"/>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val="false"/>
                <w:bCs w:val="false"/>
                <w:color w:val="1A1A1A"/>
                <w:sz w:val="18"/>
                <w:szCs w:val="18"/>
              </w:rPr>
              <w:t xml:space="preserve">Full cross-functional read; department approvals; PDPA &amp; AI-tool governance</w:t>
            </w:r>
          </w:p>
        </w:tc>
      </w:tr>
      <w:tr>
        <w:tc>
          <w:tcPr>
            <w:tcW w:type="dxa" w:w="2300"/>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bCs/>
                <w:color w:val="17375E"/>
                <w:sz w:val="18"/>
                <w:szCs w:val="18"/>
              </w:rPr>
              <w:t xml:space="preserve">Executive (Payroll)</w:t>
            </w:r>
          </w:p>
        </w:tc>
        <w:tc>
          <w:tcPr>
            <w:tcW w:type="dxa" w:w="4138"/>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val="false"/>
                <w:bCs w:val="false"/>
                <w:color w:val="1A1A1A"/>
                <w:sz w:val="18"/>
                <w:szCs w:val="18"/>
              </w:rPr>
              <w:t xml:space="preserve">Payroll, statutory submissions, levy, OT, cost control</w:t>
            </w:r>
          </w:p>
        </w:tc>
        <w:tc>
          <w:tcPr>
            <w:tcW w:type="dxa" w:w="3200"/>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val="false"/>
                <w:bCs w:val="false"/>
                <w:color w:val="1A1A1A"/>
                <w:sz w:val="18"/>
                <w:szCs w:val="18"/>
              </w:rPr>
              <w:t xml:space="preserve">Payroll &amp; cost data; insurance records</w:t>
            </w:r>
          </w:p>
        </w:tc>
      </w:tr>
      <w:tr>
        <w:tc>
          <w:tcPr>
            <w:tcW w:type="dxa" w:w="2300"/>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bCs/>
                <w:color w:val="17375E"/>
                <w:sz w:val="18"/>
                <w:szCs w:val="18"/>
              </w:rPr>
              <w:t xml:space="preserve">Executive (FW)</w:t>
            </w:r>
          </w:p>
        </w:tc>
        <w:tc>
          <w:tcPr>
            <w:tcW w:type="dxa" w:w="4138"/>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val="false"/>
                <w:bCs w:val="false"/>
                <w:color w:val="1A1A1A"/>
                <w:sz w:val="18"/>
                <w:szCs w:val="18"/>
              </w:rPr>
              <w:t xml:space="preserve">Foreign-worker compliance, dormitory, worker lifecycle</w:t>
            </w:r>
          </w:p>
        </w:tc>
        <w:tc>
          <w:tcPr>
            <w:tcW w:type="dxa" w:w="3200"/>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val="false"/>
                <w:bCs w:val="false"/>
                <w:color w:val="1A1A1A"/>
                <w:sz w:val="18"/>
                <w:szCs w:val="18"/>
              </w:rPr>
              <w:t xml:space="preserve">Worker data, permits, dormitory, DRC/IPA</w:t>
            </w:r>
          </w:p>
        </w:tc>
      </w:tr>
      <w:tr>
        <w:tc>
          <w:tcPr>
            <w:tcW w:type="dxa" w:w="2300"/>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bCs/>
                <w:color w:val="17375E"/>
                <w:sz w:val="18"/>
                <w:szCs w:val="18"/>
              </w:rPr>
              <w:t xml:space="preserve">Executive (Staff)</w:t>
            </w:r>
          </w:p>
        </w:tc>
        <w:tc>
          <w:tcPr>
            <w:tcW w:type="dxa" w:w="4138"/>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val="false"/>
                <w:bCs w:val="false"/>
                <w:color w:val="1A1A1A"/>
                <w:sz w:val="18"/>
                <w:szCs w:val="18"/>
              </w:rPr>
              <w:t xml:space="preserve">Recruitment, staff lifecycle, workforce planning</w:t>
            </w:r>
          </w:p>
        </w:tc>
        <w:tc>
          <w:tcPr>
            <w:tcW w:type="dxa" w:w="3200"/>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val="false"/>
                <w:bCs w:val="false"/>
                <w:color w:val="1A1A1A"/>
                <w:sz w:val="18"/>
                <w:szCs w:val="18"/>
              </w:rPr>
              <w:t xml:space="preserve">Staff data, recruitment, org chart</w:t>
            </w:r>
          </w:p>
        </w:tc>
      </w:tr>
      <w:tr>
        <w:tc>
          <w:tcPr>
            <w:tcW w:type="dxa" w:w="2300"/>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bCs/>
                <w:color w:val="17375E"/>
                <w:sz w:val="18"/>
                <w:szCs w:val="18"/>
              </w:rPr>
              <w:t xml:space="preserve">HR Assistant</w:t>
            </w:r>
          </w:p>
        </w:tc>
        <w:tc>
          <w:tcPr>
            <w:tcW w:type="dxa" w:w="4138"/>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val="false"/>
                <w:bCs w:val="false"/>
                <w:color w:val="1A1A1A"/>
                <w:sz w:val="18"/>
                <w:szCs w:val="18"/>
              </w:rPr>
              <w:t xml:space="preserve">Cross-pillar administrative &amp; logistics support</w:t>
            </w:r>
          </w:p>
        </w:tc>
        <w:tc>
          <w:tcPr>
            <w:tcW w:type="dxa" w:w="3200"/>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val="false"/>
                <w:bCs w:val="false"/>
                <w:color w:val="1A1A1A"/>
                <w:sz w:val="18"/>
                <w:szCs w:val="18"/>
              </w:rPr>
              <w:t xml:space="preserve">Operational trackers &amp; data entry; NO access-level approval rights</w:t>
            </w:r>
          </w:p>
        </w:tc>
      </w:tr>
    </w:tbl>
    <w:p>
      <w:pPr>
        <w:pStyle w:val="Heading1"/>
      </w:pPr>
      <w:r>
        <w:t xml:space="preserve">4. Access, Security &amp; Data Governance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Authentication via corporate SSO restricted to the HR security group; multi-factor authentication required.</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RBAC enforcing the six-role scope in Section 3; access levels approved by the HR Manager and recorded.</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The Portal must not be discoverable or accessible to non-HR employees; deployed on a segregated access path.</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SEC-04</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All personal data encrypted in transit (TLS 1.2+) and at rest.</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SEC-05</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Immutable audit log of every data change, AI action, and human approval, with user, timestamp and before/after values.</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SEC-06</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PDPA data-retention rules enforced automatically (current employees: latest 2 years; ex-employees: last 2 years retained for 1 year after departure), with scheduled purge and pre-purge review.</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SEC-07</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Configurable breach-detection alerts and a documented breach-reporting workflow aligned to PDPC requirements.</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SEC-08</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Data hosting location and residency to comply with company PDPA policy; no personal data sent to external AI providers without an approved data-processing agreement and de-identification where feasible.</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SEC-09</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Maker-checker enforcement: consequential actions require a second, role-appropriate human approval before execution.</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SEC-10</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DOA matrix encoded as configurable approval thresholds driving routing and escalation.</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SEC-11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Coverage mode (cross-training): temporary, time-bounded delegated access implementing the cross-training matrix (Payroll↔FW, FW→Staff, Staff→Payroll). Activated with HR Manager approval, fully audited, auto-expiring on the set end date.</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bl>
    <w:p>
      <w:pPr>
        <w:pStyle w:val="Heading1"/>
      </w:pPr>
      <w:r>
        <w:t xml:space="preserve">5. Functional Requirements — Shared AI Services</w:t>
      </w:r>
    </w:p>
    <w:p>
      <w:pPr>
        <w:spacing w:after="120" w:line="276"/>
      </w:pPr>
      <w:r>
        <w:t xml:space="preserve">Seven engines provide the AI capability reused across all role workspaces. Each must operate under the guiding principles in Section 1.3.</w:t>
      </w:r>
    </w:p>
    <w:p>
      <w:pPr>
        <w:pStyle w:val="Heading2"/>
      </w:pPr>
      <w:r>
        <w:t xml:space="preserve">5.1 Compliance &amp; Early-Warning Monitor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CMP-01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Continuously track DRC headroom, BCA quota, IPA pipeline vs quota, and R1/R2 ratios; alert before thresholds are breached.</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CMP-02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Track expiry of work permits, passports, and medical examinations; generate tiered advance reminders.</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CMP-03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Monitor BCA A1 licence conditions and financial grading thresholds; flag cost trajectories that risk grading.</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CMP-04</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Enforce statutory OT caps (Part IV Employment Act: 1.5× rate, 72-hour monthly cap) and flag breaches.</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CMP-05</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Track the FCF advertising window (minimum 14 consecutive days on MyCareersFuture; block offers during the window).</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CMP-06</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Maintain a live site-level headcount reconciliation: deployed vs on-payroll vs valid-permit, for MOM audit readiness.</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CMP-07</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Surface all alerts on a prioritised compliance board with ownership and due dates.</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bl>
    <w:p>
      <w:pPr>
        <w:pStyle w:val="Heading2"/>
      </w:pPr>
      <w:r>
        <w:t xml:space="preserve">5.2 Calculation &amp; Reconciliation Engine</w:t>
      </w:r>
    </w:p>
    <w:p>
      <w:pPr>
        <w:spacing w:after="120" w:line="276"/>
      </w:pPr>
      <w:r>
        <w:rPr>
          <w:b/>
          <w:bCs/>
        </w:rPr>
        <w:t xml:space="preserve">Deterministic, tested, non-AI computation. </w:t>
      </w:r>
      <w:r>
        <w:t xml:space="preserve">Produces auditable results that feed payroll and claims under maker-checker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CAL-01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Compute monthly payroll for staff and workers from HRIQ attendance/leave/OT data.</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CAL-02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Compute resignee payroll and leave encashment; bond-break liabilities on exit.</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CAL-03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Calculate foreign-worker levies, FWL billing, and R1/R2 levy cost differences.</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CAL-04</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Reconcile approved salary/bonus changes against final payroll runs; flag variances.</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CAL-05</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Reconcile levy-waiver outcomes vs actual MOM billing; report discrepancies.</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CAL-06</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Compute claim compensation from AME data for WICA/FWMI/Group Medical packages.</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3</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CAL-07</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Generate total manpower-cost reports by cost centre (salary vs levy).</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CAL-08</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Every calculation output carries a traceable breakdown and is gated by exception review before release.</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bl>
    <w:p>
      <w:pPr>
        <w:pStyle w:val="Heading2"/>
      </w:pPr>
      <w:r>
        <w:t xml:space="preserve">5.3 Document &amp; Letter Generator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DOC-01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Draft increment, bonus, bond, and disciplinary-warning letters from templates merged with HRIQ data.</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DOC-02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Draft job descriptions, company-wide memos, and announcements.</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DOC-03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Draft MOM statutory-notification documents (e.g. injury notifications) for human review — never auto-submitted.</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DOC-04</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All generated documents route to the appropriate approver before issue; issued versions are archived.</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bl>
    <w:p>
      <w:pPr>
        <w:pStyle w:val="Heading2"/>
      </w:pPr>
      <w:r>
        <w:t xml:space="preserve">5.4 HR Knowledge Assistant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KNW-01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Retrieval-grounded Q&amp;A over the Employment Act, EFMA, MOM circulars, BCA conditions, internal SOPs and the DOA matrix.</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KNW-02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Every answer cites its source passage; the assistant must not produce un-sourced legal conclusions.</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KNW-03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Curated, version-controlled knowledge base; updates trigger re-indexing and a change log.</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bl>
    <w:p>
      <w:pPr>
        <w:pStyle w:val="Heading2"/>
      </w:pPr>
      <w:r>
        <w:t xml:space="preserve">5.5 Report Builder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RPT-01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Generate the weekly HR Assurance Summary (regulatory, licence, manpower, cost-drift, people-risk).</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RPT-02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Generate OT exception, AWOL, attrition, manpower-cost and status-breakdown reports on demand and on schedule.</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RPT-03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Reports exportable to PDF/Excel and shareable within the Portal only.</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bl>
    <w:p>
      <w:pPr>
        <w:pStyle w:val="Heading2"/>
      </w:pPr>
      <w:r>
        <w:t xml:space="preserve">5.6 Workflow, Approvals &amp; Case Tracking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WFL-01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Route maker-checker and DOA approvals to the correct role with notifications and escalation on delay.</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WFL-02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Track grievance and disciplinary cases through their defined flow (report → fact-finding → warning → suspension → termination review).</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WFL-03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Maintain a complete, immutable audit trail per case and per approval.</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WFL-04</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Manager-to-Assistant task assignment: the HR Manager assigns and prioritises the HR Assistant's daily tasks (per the job scope) with a visible queue, completion tracking, and conflict warnings.</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bl>
    <w:p>
      <w:pPr>
        <w:pStyle w:val="Heading2"/>
      </w:pPr>
      <w:r>
        <w:t xml:space="preserve">5.8 Notification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NTF-01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Push time-critical alerts (permit/passport expiry, DRC headroom, FCF window closing, AWOL, approval requests) to email and/or Teams — not only in-portal — with per-alert-class configuration.</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NTF-02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Escalate unacknowledged critical alerts up the reporting line (Executive → Manager → Head of HR) after a configurable period.</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NTF-03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Notification content excludes sensitive personal data; the message links into the portal where RBAC applies.</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bl>
    <w:p>
      <w:pPr>
        <w:pStyle w:val="Heading2"/>
      </w:pPr>
      <w:r>
        <w:t xml:space="preserve">5.7 Recruitment &amp; Intake Assistant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REC-01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Parse and shortlist applications; route shortlists to the relevant Executive.</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3</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REC-02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Schedule interviews and draft offer letters (interview itself is human).</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3</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REC-03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Track agency performance and recruitment costs; retain interview/offer decision records ≥1 year.</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3</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REC-04</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Triage and route incoming general HR inquiries to the correct function.</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3</w:t>
            </w:r>
          </w:p>
        </w:tc>
      </w:tr>
    </w:tbl>
    <w:p>
      <w:pPr>
        <w:pStyle w:val="Heading1"/>
      </w:pPr>
      <w:r>
        <w:t xml:space="preserve">6. Functional Requirements — Role Workspaces</w:t>
      </w:r>
    </w:p>
    <w:p>
      <w:pPr>
        <w:spacing w:after="120" w:line="276"/>
      </w:pPr>
      <w:r>
        <w:t xml:space="preserve">Each role lands on a dashboard composed from the shared services, filtered to that role’s tasks. A detailed role-task-to-AI-mode mapping (approx. 44 AI-led, 32 AI-assisted, 27 human-only tasks) accompanies this document as the HR Portal Blueprint.</w:t>
      </w:r>
    </w:p>
    <w:p>
      <w:pPr>
        <w:spacing w:after="120" w:line="276"/>
      </w:pPr>
      <w:r>
        <w:rPr>
          <w:b/>
          <w:bCs/>
          <w:color w:val="17375E"/>
        </w:rPr>
        <w:t xml:space="preserve">HR Manager console — </w:t>
      </w:r>
      <w:r>
        <w:t xml:space="preserve">Approval queue; HR Assurance Summary; compliance risk board; compensation-review workspace; team workload view; PDPA &amp; AI-governance controls.</w:t>
      </w:r>
    </w:p>
    <w:p>
      <w:pPr>
        <w:spacing w:after="120" w:line="276"/>
      </w:pPr>
      <w:r>
        <w:rPr>
          <w:b/>
          <w:bCs/>
          <w:color w:val="17375E"/>
        </w:rPr>
        <w:t xml:space="preserve">Payroll workspace — </w:t>
      </w:r>
      <w:r>
        <w:t xml:space="preserve">Payroll run + reconciliation; CPF / IR21 / IR8A preparation; levy &amp; waiver processing; OT audit; cost-centre reporting; insurance records.</w:t>
      </w:r>
    </w:p>
    <w:p>
      <w:pPr>
        <w:spacing w:after="120" w:line="276"/>
      </w:pPr>
      <w:r>
        <w:rPr>
          <w:b/>
          <w:bCs/>
          <w:color w:val="17375E"/>
        </w:rPr>
        <w:t xml:space="preserve">Foreign-Worker workspace — </w:t>
      </w:r>
      <w:r>
        <w:t xml:space="preserve">Live DRC/IPA board; permit lifecycle; dormitory bed forecast; worker status &amp; AWOL tracking; home-leave management; claims compilation.</w:t>
      </w:r>
    </w:p>
    <w:p>
      <w:pPr>
        <w:spacing w:after="120" w:line="276"/>
      </w:pPr>
      <w:r>
        <w:rPr>
          <w:b/>
          <w:bCs/>
          <w:color w:val="17375E"/>
        </w:rPr>
        <w:t xml:space="preserve">Staff workspace — </w:t>
      </w:r>
      <w:r>
        <w:t xml:space="preserve">Recruitment pipeline + FCF tracker; onboarding/exit workflows; org chart &amp; directory; performance cycles; attrition analytics; staff claims.</w:t>
      </w:r>
    </w:p>
    <w:p>
      <w:pPr>
        <w:spacing w:after="120" w:line="276"/>
      </w:pPr>
      <w:r>
        <w:rPr>
          <w:b/>
          <w:bCs/>
          <w:color w:val="17375E"/>
        </w:rPr>
        <w:t xml:space="preserve">Assistant workspace — </w:t>
      </w:r>
      <w:r>
        <w:t xml:space="preserve">Master trackers; document scanning/indexing (OCR); OT follow-up queue; HRIQ account creation; expiry-alert dashboard; inquiry routing.</w:t>
      </w:r>
    </w:p>
    <w:p>
      <w:pPr>
        <w:pStyle w:val="Heading1"/>
      </w:pPr>
      <w:r>
        <w:t xml:space="preserve">7. Data &amp; Integration Requirements</w:t>
      </w:r>
    </w:p>
    <w:p>
      <w:pPr>
        <w:spacing w:after="120" w:line="276"/>
      </w:pPr>
      <w:r>
        <w:rPr>
          <w:b/>
          <w:bCs/>
          <w:color w:val="9C2A2A"/>
        </w:rPr>
        <w:t xml:space="preserve">Critical dependency. </w:t>
      </w:r>
      <w:r>
        <w:t xml:space="preserve">The degree of automation achievable depends directly on HRIQ’s integration capability. This must be resolved before build commitment.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INT-01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Confirm whether HRIQ exposes an API (read/write). If yes, integrate as system of record; if no, define a file import/export bridge and revise automation scope accordingly.</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INT-02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Read access to HRIQ employee, attendance, leave, OT, and payroll data.</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INT-03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Write-back of approved changes (e.g. salary/bonus) under maker-checker, where HRIQ permits.</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INT-04</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Integration / data-exchange points with Finance (grants, wage subsidies, grading) and Operations (site deployment) for reconciliation.</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3</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INT-05</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MOM / government portals are treated as human-operated endpoints; the Portal prepares submissions but does not auto-submit unless an approved API exists.</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INT-06</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EHS interface: receive EHS incident reports as the inbound trigger for injury-claim cases, and deliver the weekly OT exception report to EHS for fatigue monitoring.</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INT-07</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External respondent links: secure, single-purpose, expiring links for non-HR actors — hiring managers (candidate interest), site supervisors (missing OT confirmation) — with no portal accounts and no personal data beyond the task at hand.</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bl>
    <w:p>
      <w:pPr>
        <w:pStyle w:val="Heading1"/>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7588"/>
        <w:gridCol w:w="900"/>
      </w:tblGrid>
      <w:tr>
        <w:trPr>
          <w:tblHeader/>
        </w:trPr>
        <w:tc>
          <w:tcPr>
            <w:tcW w:type="dxa" w:w="115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ID</w:t>
            </w:r>
          </w:p>
        </w:tc>
        <w:tc>
          <w:tcPr>
            <w:tcW w:type="dxa" w:w="758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left"/>
            </w:pPr>
            <w:r>
              <w:rPr>
                <w:rFonts w:ascii="Arial" w:cs="Arial" w:eastAsia="Arial" w:hAnsi="Arial"/>
                <w:b/>
                <w:bCs/>
                <w:color w:val="FFFFFF"/>
                <w:sz w:val="19"/>
                <w:szCs w:val="19"/>
              </w:rPr>
              <w:t xml:space="preserve">Requirement</w:t>
            </w:r>
          </w:p>
        </w:tc>
        <w:tc>
          <w:tcPr>
            <w:tcW w:type="dxa" w:w="9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vAlign w:val="center"/>
          </w:tcPr>
          <w:p>
            <w:pPr>
              <w:jc w:val="center"/>
            </w:pPr>
            <w:r>
              <w:rPr>
                <w:rFonts w:ascii="Arial" w:cs="Arial" w:eastAsia="Arial" w:hAnsi="Arial"/>
                <w:b/>
                <w:bCs/>
                <w:color w:val="FFFFFF"/>
                <w:sz w:val="19"/>
                <w:szCs w:val="19"/>
              </w:rPr>
              <w:t xml:space="preserve">Phase</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NFR-01</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Security: independent security review and penetration test before go-live; OWASP-aligned development.</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NFR-02</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Availability: target 99.5% during business hours; automated daily backups with tested restore.</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NFR-03</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Performance: dashboards load &lt; 3s; report generation &lt; 30s for standard ranges.</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NFR-04</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Auditability: all actions logged and retained per policy; logs tamper-evident.</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NFR-05</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Usability: workflows usable by non-technical HR staff; minimal training; clear, action-oriented copy.</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2</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NFR-06</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Maintainability: documented codebase, automated tests (especially for all CAL-* calculations), and a maintenance owner identified.</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NFR-07</w:t>
            </w:r>
          </w:p>
        </w:tc>
        <w:tc>
          <w:tcPr>
            <w:tcW w:type="dxa" w:w="7588"/>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AI safety: model outputs constrained to drafting/retrieval/classification; mandatory human review gates; outputs labelled as AI-generated.</w:t>
            </w:r>
          </w:p>
        </w:tc>
        <w:tc>
          <w:tcPr>
            <w:tcW w:type="dxa" w:w="9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r>
        <w:tc>
          <w:tcPr>
            <w:tcW w:type="dxa" w:w="115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Consolas" w:cs="Consolas" w:eastAsia="Consolas" w:hAnsi="Consolas"/>
                <w:b/>
                <w:bCs/>
                <w:color w:val="2F5D8A"/>
                <w:sz w:val="19"/>
                <w:szCs w:val="19"/>
              </w:rPr>
              <w:t xml:space="preserve">NFR-08</w:t>
            </w:r>
          </w:p>
        </w:tc>
        <w:tc>
          <w:tcPr>
            <w:tcW w:type="dxa" w:w="7588"/>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left"/>
            </w:pPr>
            <w:r>
              <w:rPr>
                <w:rFonts w:ascii="Arial" w:cs="Arial" w:eastAsia="Arial" w:hAnsi="Arial"/>
                <w:color w:val="1A1A1A"/>
                <w:sz w:val="19"/>
                <w:szCs w:val="19"/>
              </w:rPr>
              <w:t xml:space="preserve">Data minimisation: only data necessary for a task is exposed to any AI processing step.</w:t>
            </w:r>
          </w:p>
        </w:tc>
        <w:tc>
          <w:tcPr>
            <w:tcW w:type="dxa" w:w="900"/>
            <w:tcBorders>
              <w:top w:val="single" w:color="C7D0DA" w:sz="1"/>
              <w:left w:val="single" w:color="C7D0DA" w:sz="1"/>
              <w:bottom w:val="single" w:color="C7D0DA" w:sz="1"/>
              <w:right w:val="single" w:color="C7D0DA" w:sz="1"/>
            </w:tcBorders>
            <w:shd w:fill="F6F8FB" w:val="clear"/>
            <w:tcMar>
              <w:top w:type="dxa" w:w="60"/>
              <w:left w:type="dxa" w:w="110"/>
              <w:bottom w:type="dxa" w:w="60"/>
              <w:right w:type="dxa" w:w="110"/>
            </w:tcMar>
            <w:vAlign w:val="center"/>
          </w:tcPr>
          <w:p>
            <w:pPr>
              <w:jc w:val="center"/>
            </w:pPr>
            <w:r>
              <w:rPr>
                <w:rFonts w:ascii="Arial" w:cs="Arial" w:eastAsia="Arial" w:hAnsi="Arial"/>
                <w:color w:val="5A6675"/>
                <w:sz w:val="19"/>
                <w:szCs w:val="19"/>
              </w:rPr>
              <w:t xml:space="preserve">1</w:t>
            </w:r>
          </w:p>
        </w:tc>
      </w:tr>
    </w:tbl>
    <w:p>
      <w:pPr>
        <w:pStyle w:val="Heading1"/>
      </w:pPr>
      <w:r>
        <w:t xml:space="preserve">9. Constraints &amp; Assumptions</w:t>
      </w:r>
    </w:p>
    <w:p>
      <w:pPr>
        <w:pStyle w:val="ListParagraph"/>
        <w:numPr>
          <w:ilvl w:val="0"/>
          <w:numId w:val="2"/>
        </w:numPr>
        <w:spacing w:after="60" w:line="270"/>
      </w:pPr>
      <w:r>
        <w:t xml:space="preserve">Singapore regulatory context (MOM, BCA, CPF, PDPA) applies; rules change and must be kept current.</w:t>
      </w:r>
    </w:p>
    <w:p>
      <w:pPr>
        <w:pStyle w:val="ListParagraph"/>
        <w:numPr>
          <w:ilvl w:val="0"/>
          <w:numId w:val="2"/>
        </w:numPr>
        <w:spacing w:after="60" w:line="270"/>
      </w:pPr>
      <w:r>
        <w:t xml:space="preserve">HRIQ remains the HRIS of record for the foreseeable term.</w:t>
      </w:r>
    </w:p>
    <w:p>
      <w:pPr>
        <w:pStyle w:val="ListParagraph"/>
        <w:numPr>
          <w:ilvl w:val="0"/>
          <w:numId w:val="2"/>
        </w:numPr>
        <w:spacing w:after="60" w:line="270"/>
      </w:pPr>
      <w:r>
        <w:t xml:space="preserve">The company will nominate a business owner and a maintenance owner for the system.</w:t>
      </w:r>
    </w:p>
    <w:p>
      <w:pPr>
        <w:pStyle w:val="ListParagraph"/>
        <w:numPr>
          <w:ilvl w:val="0"/>
          <w:numId w:val="2"/>
        </w:numPr>
        <w:spacing w:after="60" w:line="270"/>
      </w:pPr>
      <w:r>
        <w:t xml:space="preserve">Statutory figures in the source document are treated as unverified inputs pending confirmation.</w:t>
      </w:r>
    </w:p>
    <w:p>
      <w:pPr>
        <w:pStyle w:val="ListParagraph"/>
        <w:numPr>
          <w:ilvl w:val="0"/>
          <w:numId w:val="2"/>
        </w:numPr>
        <w:spacing w:after="60" w:line="270"/>
      </w:pPr>
      <w:r>
        <w:t xml:space="preserve">The Portal operates within existing company network and identity infrastructure.</w:t>
      </w:r>
    </w:p>
    <w:p>
      <w:pPr>
        <w:pStyle w:val="Heading1"/>
      </w:pPr>
      <w:r>
        <w:t xml:space="preserve">10. Phased Delivery Plan</w:t>
      </w:r>
    </w:p>
    <w:p>
      <w:pPr>
        <w:spacing w:after="120" w:line="276"/>
      </w:pPr>
      <w:r>
        <w:t xml:space="preserve">A risk-managed rollout: deliver value early on low-blast-radius modules; defer live payroll and statutory write-back until proven in parallel.</w:t>
      </w:r>
    </w:p>
    <w:p>
      <w:pPr>
        <w:spacing w:after="40" w:before="120"/>
      </w:pPr>
      <w:r>
        <w:rPr>
          <w:b/>
          <w:bCs/>
          <w:color w:val="2F5D8A"/>
          <w:sz w:val="22"/>
          <w:szCs w:val="22"/>
        </w:rPr>
        <w:t xml:space="preserve">Phase 1 — Foundation &amp; low-risk value</w:t>
      </w:r>
    </w:p>
    <w:p>
      <w:pPr>
        <w:spacing w:after="120" w:line="276"/>
      </w:pPr>
      <w:r>
        <w:t xml:space="preserve">Access/security layer, RBAC, audit log; role dashboards (read-only); Compliance &amp; Early-Warning Monitor; Document Generator (drafts); HR Knowledge Assistant; HRIQ read integration. Touches no money.</w:t>
      </w:r>
    </w:p>
    <w:p>
      <w:pPr>
        <w:spacing w:after="40" w:before="120"/>
      </w:pPr>
      <w:r>
        <w:rPr>
          <w:b/>
          <w:bCs/>
          <w:color w:val="2F5D8A"/>
          <w:sz w:val="22"/>
          <w:szCs w:val="22"/>
        </w:rPr>
        <w:t xml:space="preserve">Phase 2 — Workflow &amp; calculation (parallel-run)</w:t>
      </w:r>
    </w:p>
    <w:p>
      <w:pPr>
        <w:spacing w:after="120" w:line="276"/>
      </w:pPr>
      <w:r>
        <w:t xml:space="preserve">Calculation &amp; Reconciliation Engine, Report Builder, Approvals &amp; case tracking, retention/breach governance. Payroll calc run in PARALLEL with existing process and reconciled until trusted — not yet authoritative.</w:t>
      </w:r>
    </w:p>
    <w:p>
      <w:pPr>
        <w:spacing w:after="40" w:before="120"/>
      </w:pPr>
      <w:r>
        <w:rPr>
          <w:b/>
          <w:bCs/>
          <w:color w:val="2F5D8A"/>
          <w:sz w:val="22"/>
          <w:szCs w:val="22"/>
        </w:rPr>
        <w:t xml:space="preserve">Phase 3 — Advanced &amp; write-back</w:t>
      </w:r>
    </w:p>
    <w:p>
      <w:pPr>
        <w:spacing w:after="120" w:line="276"/>
      </w:pPr>
      <w:r>
        <w:t xml:space="preserve">Recruitment &amp; Intake Assistant, claims compensation, HRIQ write-back, Finance/Operations integration, scheduled statutory-document preparation.</w:t>
      </w:r>
    </w:p>
    <w:p>
      <w:pPr>
        <w:pStyle w:val="Heading1"/>
      </w:pPr>
      <w:r>
        <w:t xml:space="preserve">11. Risks &amp;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tcPr>
          <w:p>
            <w:r>
              <w:rPr>
                <w:b/>
                <w:bCs/>
                <w:color w:val="FFFFFF"/>
                <w:sz w:val="19"/>
                <w:szCs w:val="19"/>
              </w:rPr>
              <w:t xml:space="preserve">Risk / question</w:t>
            </w:r>
          </w:p>
        </w:tc>
        <w:tc>
          <w:tcPr>
            <w:tcW w:type="dxa" w:w="6638"/>
            <w:tcBorders>
              <w:top w:val="single" w:color="C7D0DA" w:sz="1"/>
              <w:left w:val="single" w:color="C7D0DA" w:sz="1"/>
              <w:bottom w:val="single" w:color="C7D0DA" w:sz="1"/>
              <w:right w:val="single" w:color="C7D0DA" w:sz="1"/>
            </w:tcBorders>
            <w:shd w:fill="17375E" w:val="clear"/>
            <w:tcMar>
              <w:top w:type="dxa" w:w="60"/>
              <w:left w:type="dxa" w:w="110"/>
              <w:bottom w:type="dxa" w:w="60"/>
              <w:right w:type="dxa" w:w="110"/>
            </w:tcMar>
          </w:tcPr>
          <w:p>
            <w:r>
              <w:rPr>
                <w:b/>
                <w:bCs/>
                <w:color w:val="FFFFFF"/>
                <w:sz w:val="19"/>
                <w:szCs w:val="19"/>
              </w:rPr>
              <w:t xml:space="preserve">Mitigation</w:t>
            </w:r>
          </w:p>
        </w:tc>
      </w:tr>
      <w:tr>
        <w:tc>
          <w:tcPr>
            <w:tcW w:type="dxa" w:w="3000"/>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bCs/>
                <w:color w:val="17375E"/>
                <w:sz w:val="18"/>
                <w:szCs w:val="18"/>
              </w:rPr>
              <w:t xml:space="preserve">HRIQ integration capability</w:t>
            </w:r>
          </w:p>
        </w:tc>
        <w:tc>
          <w:tcPr>
            <w:tcW w:type="dxa" w:w="6638"/>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val="false"/>
                <w:bCs w:val="false"/>
                <w:color w:val="1A1A1A"/>
                <w:sz w:val="18"/>
                <w:szCs w:val="18"/>
              </w:rPr>
              <w:t xml:space="preserve">Without an API, automation is limited to import/export; this materially changes scope and effort. RESOLVE FIRST.</w:t>
            </w:r>
          </w:p>
        </w:tc>
      </w:tr>
      <w:tr>
        <w:tc>
          <w:tcPr>
            <w:tcW w:type="dxa" w:w="3000"/>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bCs/>
                <w:color w:val="17375E"/>
                <w:sz w:val="18"/>
                <w:szCs w:val="18"/>
              </w:rPr>
              <w:t xml:space="preserve">Regulatory accuracy &amp; drift</w:t>
            </w:r>
          </w:p>
        </w:tc>
        <w:tc>
          <w:tcPr>
            <w:tcW w:type="dxa" w:w="6638"/>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val="false"/>
                <w:bCs w:val="false"/>
                <w:color w:val="1A1A1A"/>
                <w:sz w:val="18"/>
                <w:szCs w:val="18"/>
              </w:rPr>
              <w:t xml:space="preserve">Hard-coded statutory rules become wrong over time. Mitigate with a configurable rules layer and periodic compliance review.</w:t>
            </w:r>
          </w:p>
        </w:tc>
      </w:tr>
      <w:tr>
        <w:tc>
          <w:tcPr>
            <w:tcW w:type="dxa" w:w="3000"/>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bCs/>
                <w:color w:val="17375E"/>
                <w:sz w:val="18"/>
                <w:szCs w:val="18"/>
              </w:rPr>
              <w:t xml:space="preserve">Payroll/statutory correctness</w:t>
            </w:r>
          </w:p>
        </w:tc>
        <w:tc>
          <w:tcPr>
            <w:tcW w:type="dxa" w:w="6638"/>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val="false"/>
                <w:bCs w:val="false"/>
                <w:color w:val="1A1A1A"/>
                <w:sz w:val="18"/>
                <w:szCs w:val="18"/>
              </w:rPr>
              <w:t xml:space="preserve">Errors carry legal/financial consequence. Mitigate with deterministic code, exhaustive tests, maker-checker, and parallel-run before cut-over.</w:t>
            </w:r>
          </w:p>
        </w:tc>
      </w:tr>
      <w:tr>
        <w:tc>
          <w:tcPr>
            <w:tcW w:type="dxa" w:w="3000"/>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bCs/>
                <w:color w:val="17375E"/>
                <w:sz w:val="18"/>
                <w:szCs w:val="18"/>
              </w:rPr>
              <w:t xml:space="preserve">PDPA &amp; data security</w:t>
            </w:r>
          </w:p>
        </w:tc>
        <w:tc>
          <w:tcPr>
            <w:tcW w:type="dxa" w:w="6638"/>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val="false"/>
                <w:bCs w:val="false"/>
                <w:color w:val="1A1A1A"/>
                <w:sz w:val="18"/>
                <w:szCs w:val="18"/>
              </w:rPr>
              <w:t xml:space="preserve">Personal/sensitive data of staff and workers. Mitigate with encryption, RBAC, audit, residency controls, and an independent security review.</w:t>
            </w:r>
          </w:p>
        </w:tc>
      </w:tr>
      <w:tr>
        <w:tc>
          <w:tcPr>
            <w:tcW w:type="dxa" w:w="3000"/>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bCs/>
                <w:color w:val="17375E"/>
                <w:sz w:val="18"/>
                <w:szCs w:val="18"/>
              </w:rPr>
              <w:t xml:space="preserve">AI hallucination</w:t>
            </w:r>
          </w:p>
        </w:tc>
        <w:tc>
          <w:tcPr>
            <w:tcW w:type="dxa" w:w="6638"/>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val="false"/>
                <w:bCs w:val="false"/>
                <w:color w:val="1A1A1A"/>
                <w:sz w:val="18"/>
                <w:szCs w:val="18"/>
              </w:rPr>
              <w:t xml:space="preserve">Generative output may be wrong. Mitigate by confining AI to non-authoritative tasks with mandatory human review and source citation.</w:t>
            </w:r>
          </w:p>
        </w:tc>
      </w:tr>
      <w:tr>
        <w:tc>
          <w:tcPr>
            <w:tcW w:type="dxa" w:w="3000"/>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bCs/>
                <w:color w:val="17375E"/>
                <w:sz w:val="18"/>
                <w:szCs w:val="18"/>
              </w:rPr>
              <w:t xml:space="preserve">Ownership &amp; maintenance</w:t>
            </w:r>
          </w:p>
        </w:tc>
        <w:tc>
          <w:tcPr>
            <w:tcW w:type="dxa" w:w="6638"/>
            <w:tcBorders>
              <w:top w:val="single" w:color="C7D0DA" w:sz="1"/>
              <w:left w:val="single" w:color="C7D0DA" w:sz="1"/>
              <w:bottom w:val="single" w:color="C7D0DA" w:sz="1"/>
              <w:right w:val="single" w:color="C7D0DA" w:sz="1"/>
            </w:tcBorders>
            <w:shd w:fill="F6F8FB" w:val="clear"/>
            <w:tcMar>
              <w:top w:type="dxa" w:w="55"/>
              <w:left w:type="dxa" w:w="110"/>
              <w:bottom w:type="dxa" w:w="55"/>
              <w:right w:type="dxa" w:w="110"/>
            </w:tcMar>
          </w:tcPr>
          <w:p>
            <w:r>
              <w:rPr>
                <w:b w:val="false"/>
                <w:bCs w:val="false"/>
                <w:color w:val="1A1A1A"/>
                <w:sz w:val="18"/>
                <w:szCs w:val="18"/>
              </w:rPr>
              <w:t xml:space="preserve">A system with no in-house technical owner is a continuity risk. Mitigate by naming an owner and documenting/ testing thoroughly.</w:t>
            </w:r>
          </w:p>
        </w:tc>
      </w:tr>
      <w:tr>
        <w:tc>
          <w:tcPr>
            <w:tcW w:type="dxa" w:w="3000"/>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bCs/>
                <w:color w:val="17375E"/>
                <w:sz w:val="18"/>
                <w:szCs w:val="18"/>
              </w:rPr>
              <w:t xml:space="preserve">Scope realism</w:t>
            </w:r>
          </w:p>
        </w:tc>
        <w:tc>
          <w:tcPr>
            <w:tcW w:type="dxa" w:w="6638"/>
            <w:tcBorders>
              <w:top w:val="single" w:color="C7D0DA" w:sz="1"/>
              <w:left w:val="single" w:color="C7D0DA" w:sz="1"/>
              <w:bottom w:val="single" w:color="C7D0DA" w:sz="1"/>
              <w:right w:val="single" w:color="C7D0DA" w:sz="1"/>
            </w:tcBorders>
            <w:shd w:fill="FFFFFF" w:val="clear"/>
            <w:tcMar>
              <w:top w:type="dxa" w:w="55"/>
              <w:left w:type="dxa" w:w="110"/>
              <w:bottom w:type="dxa" w:w="55"/>
              <w:right w:type="dxa" w:w="110"/>
            </w:tcMar>
          </w:tcPr>
          <w:p>
            <w:r>
              <w:rPr>
                <w:b w:val="false"/>
                <w:bCs w:val="false"/>
                <w:color w:val="1A1A1A"/>
                <w:sz w:val="18"/>
                <w:szCs w:val="18"/>
              </w:rPr>
              <w:t xml:space="preserve">Full system is multi-phase. Mitigate with MVP-first delivery and explicit phase acceptance.</w:t>
            </w:r>
          </w:p>
        </w:tc>
      </w:tr>
    </w:tbl>
    <w:p>
      <w:pPr>
        <w:pStyle w:val="Heading1"/>
      </w:pPr>
      <w:r>
        <w:t xml:space="preserve">12. Acceptance &amp; Sign-off</w:t>
      </w:r>
    </w:p>
    <w:p>
      <w:pPr>
        <w:spacing w:after="120" w:line="276"/>
      </w:pPr>
      <w:r>
        <w:t xml:space="preserve">Each phase is accepted against its requirements (Sections 4–8) with: (a) demonstrated functionality, (b) passing automated tests for all calculation requirements, (c) a security review for phases handling personal or financial data, and (d) sign-off by the nominated business owner. This SRS itself requires stakeholder review and regulatory verification before development begins.</w:t>
      </w:r>
    </w:p>
    <w:p>
      <w:pPr>
        <w:spacing w:before="300"/>
      </w:pPr>
      <w:r>
        <w:rPr>
          <w:i/>
          <w:iCs/>
          <w:color w:val="5A6675"/>
          <w:sz w:val="18"/>
          <w:szCs w:val="18"/>
        </w:rPr>
        <w:t xml:space="preserve">— End of Specification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space="4"/>
      </w:pBdr>
      <w:tabs>
        <w:tab w:val="right" w:pos="9638"/>
      </w:tabs>
    </w:pPr>
    <w:r>
      <w:rPr>
        <w:color w:val="5A6675"/>
        <w:sz w:val="15"/>
        <w:szCs w:val="15"/>
      </w:rPr>
      <w:t xml:space="preserve">Draft v0.2 · Confidential · 3 Jul 2026</w:t>
    </w:r>
    <w:r>
      <w:rPr>
        <w:color w:val="5A6675"/>
        <w:sz w:val="15"/>
        <w:szCs w:val="15"/>
      </w:rPr>
      <w:t xml:space="preserve">	Page </w:t>
    </w:r>
    <w:r>
      <w:rPr>
        <w:color w:val="5A6675"/>
        <w:sz w:val="15"/>
        <w:szCs w:val="15"/>
      </w:rPr>
      <w:fldChar w:fldCharType="begin"/>
      <w:instrText xml:space="preserve">PAGE</w:instrText>
      <w:fldChar w:fldCharType="separate"/>
      <w:fldChar w:fldCharType="end"/>
    </w:r>
    <w:r>
      <w:rPr>
        <w:color w:val="5A6675"/>
        <w:sz w:val="15"/>
        <w:szCs w:val="15"/>
      </w:rPr>
      <w:t xml:space="preserve"> of </w:t>
    </w:r>
    <w:r>
      <w:rPr>
        <w:color w:val="5A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space="4"/>
      </w:pBdr>
      <w:jc w:val="right"/>
    </w:pPr>
    <w:r>
      <w:rPr>
        <w:color w:val="5A6675"/>
        <w:sz w:val="15"/>
        <w:szCs w:val="15"/>
      </w:rPr>
      <w:t xml:space="preserve">HR Operations Portal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D8A" w:sz="8" w:space="4"/>
      </w:pBdr>
      <w:spacing w:after="140" w:before="320"/>
      <w:outlineLvl w:val="0"/>
    </w:pPr>
    <w:rPr>
      <w:rFonts w:ascii="Arial" w:cs="Arial" w:eastAsia="Arial" w:hAnsi="Arial"/>
      <w:b/>
      <w:bCs/>
      <w:color w:val="17375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F5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Operations Portal — Software Requirements Specification</dc:title>
  <dc:creator>HR Portal Planning</dc:creator>
  <cp:lastModifiedBy>Un-named</cp:lastModifiedBy>
  <cp:revision>1</cp:revision>
  <dcterms:created xsi:type="dcterms:W3CDTF">2026-07-03T08:55:05.796Z</dcterms:created>
  <dcterms:modified xsi:type="dcterms:W3CDTF">2026-07-03T08:55:05.802Z</dcterms:modified>
</cp:coreProperties>
</file>

<file path=docProps/custom.xml><?xml version="1.0" encoding="utf-8"?>
<Properties xmlns="http://schemas.openxmlformats.org/officeDocument/2006/custom-properties" xmlns:vt="http://schemas.openxmlformats.org/officeDocument/2006/docPropsVTypes"/>
</file>