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La réunion a abordé plusieurs sujets liés aux impacts environnementaux et sociaux de l'industrialisation et de l'obsolescence programmée. Elle a souligné les dangers de la pollution générée par les déchets électroniques, comme l'exemple d'une île au large du Sénégal transformée en décharge de déchets électroniques. La discussion a également couvert l'obsolescence programmée, en particulier dans les téléphones portables, et comment cela force les consommateurs à remplacer leurs appareils plus fréquemment. Un participant a partagé son expérience personnelle avec un iPhone 8 qui a commencé à présenter des problèmes de stockage, soulevant des questions sur l'obsolescence programmée et les virus. </w:t>
        <w:br/>
        <w:br/>
        <w:t>La conversation s'est ensuite tournée vers les efforts de législation en Europe pour combattre l'obsolescence programmée, notamment en standardisant les chargeurs et en augmentant la transparence des fabricants sur la durabilité des produits. Les participants ont discuté des défis liés à la mise en œuvre de ces mesures, notamment la confusion potentielle autour des ports USB-C et la capacité des ports.</w:t>
        <w:br/>
        <w:br/>
        <w:t>En outre, la réunion a abordé les mutations des activités industrielles, l'automatisation croissante de la production, le développement de la robotisation, et l'impact de la digitalisation sur la chaîne de production. Les participants ont souligné l'importance de l'externalisation et de la sous-traitance dans le contexte économique actuel, tout en discutant des implications géostratégiques de la perte de capacité industrielle dans les pays occidentaux.</w:t>
        <w:br/>
        <w:br/>
        <w:t>La réunion a conclu sur la nécessité de repenser les modes de production et de consommation pour réduire l'impact environnemental et social de l'industrialisation et de l'obsolescence programmée.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