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 réunion a abordé plusieurs sujets clés liés à l'impact environnemental et social de l'industrialisation, l'obsolescence programmée, et les défis démographiques. Les participants ont discuté des dangers de la pollution générée par les déchets électroniques, notamment sur l'exemple d'une île au large du Sénégal transformée en décharge géante. Ils ont également évoqué les stratégies d'obsolescence programmée dans les appareils électroniques, en particulier les téléphones, et partagé des expériences personnelles à ce sujet. La conversation a aussi touché la législation européenne visant à standardiser les chargeurs pour réduire les déchets électroniques, ainsi que les défis posés par les différentes capacités des ports USB-C.</w:t>
        <w:br/>
        <w:br/>
        <w:t>Un autre point important discuté a été l'évolution des activités industrielles et les mutations des modes de production, avec une attention particulière portée à l'automatisation, la robotisation, et le développement du digital. Les participants ont souligné l'importance de la sous-traitance et de l'externalisation, tout en exprimant des inquiétudes sur la perte de capacités industrielles stratégiques et la dépendance vis-à-vis de la production étrangère, notamment illustrée par la difficulté des pays occidentaux à fournir des munitions à l'Ukraine.</w:t>
        <w:br/>
        <w:br/>
        <w:t>La discussion s'est également étendue aux implications géostratégiques des choix économiques et industriels, avec une critique de la tendance à privilégier les profits à court terme au détriment de la puissance industrielle et de l'autosuffisance. Enfin, la conversation a abordé les différentes révolutions industrielles, de l'avènement de la machine à vapeur à la montée de l'intelligence artificielle, soulignant l'impact de ces changements technologiques sur la société et l'économie.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